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B88AE" w14:textId="273608DE" w:rsidR="00D44C22" w:rsidRPr="00D44C22" w:rsidRDefault="00106D40" w:rsidP="00D44C22">
      <w:pPr>
        <w:pBdr>
          <w:bottom w:val="single" w:sz="8" w:space="4" w:color="4F81BD"/>
        </w:pBdr>
        <w:jc w:val="center"/>
        <w:rPr>
          <w:rFonts w:asciiTheme="majorHAnsi" w:hAnsiTheme="majorHAnsi" w:cstheme="majorHAnsi"/>
          <w:b/>
          <w:sz w:val="100"/>
          <w:szCs w:val="100"/>
        </w:rPr>
      </w:pPr>
      <w:r w:rsidRPr="00D44C22">
        <w:rPr>
          <w:rFonts w:asciiTheme="majorHAnsi" w:hAnsiTheme="majorHAnsi" w:cstheme="majorHAnsi"/>
          <w:b/>
          <w:sz w:val="100"/>
          <w:szCs w:val="100"/>
        </w:rPr>
        <w:t>Allergy Safety Policy</w:t>
      </w:r>
    </w:p>
    <w:p w14:paraId="7879C788" w14:textId="77777777" w:rsidR="003017AC" w:rsidRDefault="00106D40">
      <w:pPr>
        <w:jc w:val="center"/>
        <w:rPr>
          <w:rFonts w:asciiTheme="majorHAnsi" w:hAnsiTheme="majorHAnsi" w:cstheme="majorHAnsi"/>
        </w:rPr>
      </w:pPr>
      <w:r w:rsidRPr="009F6A9D">
        <w:rPr>
          <w:rFonts w:asciiTheme="majorHAnsi" w:hAnsiTheme="majorHAnsi" w:cstheme="majorHAnsi"/>
          <w:noProof/>
        </w:rPr>
        <w:drawing>
          <wp:inline distT="0" distB="0" distL="0" distR="0" wp14:anchorId="5726E70F" wp14:editId="5066CA4D">
            <wp:extent cx="3390900" cy="38120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8"/>
                    <a:stretch>
                      <a:fillRect/>
                    </a:stretch>
                  </pic:blipFill>
                  <pic:spPr>
                    <a:xfrm>
                      <a:off x="0" y="0"/>
                      <a:ext cx="3400603" cy="3822921"/>
                    </a:xfrm>
                    <a:prstGeom prst="rect">
                      <a:avLst/>
                    </a:prstGeom>
                  </pic:spPr>
                </pic:pic>
              </a:graphicData>
            </a:graphic>
          </wp:inline>
        </w:drawing>
      </w:r>
    </w:p>
    <w:p w14:paraId="0D03336F" w14:textId="77777777" w:rsidR="009773F3" w:rsidRPr="009F6A9D" w:rsidRDefault="009773F3">
      <w:pPr>
        <w:jc w:val="center"/>
        <w:rPr>
          <w:rFonts w:asciiTheme="majorHAnsi" w:hAnsiTheme="majorHAnsi" w:cstheme="majorHAnsi"/>
        </w:rPr>
      </w:pPr>
    </w:p>
    <w:p w14:paraId="72E89800" w14:textId="77777777" w:rsidR="003017AC" w:rsidRDefault="00106D40">
      <w:pPr>
        <w:jc w:val="center"/>
        <w:rPr>
          <w:rFonts w:asciiTheme="majorHAnsi" w:hAnsiTheme="majorHAnsi" w:cstheme="majorHAnsi"/>
          <w:i/>
          <w:sz w:val="36"/>
          <w:szCs w:val="36"/>
        </w:rPr>
      </w:pPr>
      <w:r w:rsidRPr="00897AF5">
        <w:rPr>
          <w:rFonts w:asciiTheme="majorHAnsi" w:hAnsiTheme="majorHAnsi" w:cstheme="majorHAnsi"/>
          <w:i/>
          <w:sz w:val="36"/>
          <w:szCs w:val="36"/>
        </w:rPr>
        <w:t>With kindness we care, with respect we grow</w:t>
      </w:r>
      <w:r w:rsidRPr="00897AF5">
        <w:rPr>
          <w:rFonts w:asciiTheme="majorHAnsi" w:hAnsiTheme="majorHAnsi" w:cstheme="majorHAnsi"/>
          <w:i/>
          <w:sz w:val="36"/>
          <w:szCs w:val="36"/>
        </w:rPr>
        <w:br/>
        <w:t>and with perseverance we succeed.</w:t>
      </w:r>
    </w:p>
    <w:p w14:paraId="739AF39D" w14:textId="77777777" w:rsidR="009773F3" w:rsidRPr="00897AF5" w:rsidRDefault="009773F3">
      <w:pPr>
        <w:jc w:val="center"/>
        <w:rPr>
          <w:rFonts w:asciiTheme="majorHAnsi" w:hAnsiTheme="majorHAnsi" w:cstheme="majorHAnsi"/>
          <w:sz w:val="36"/>
          <w:szCs w:val="36"/>
        </w:rPr>
      </w:pPr>
    </w:p>
    <w:p w14:paraId="601C31E8" w14:textId="77777777" w:rsidR="003017AC" w:rsidRDefault="00106D40">
      <w:pPr>
        <w:jc w:val="center"/>
        <w:rPr>
          <w:rFonts w:asciiTheme="majorHAnsi" w:hAnsiTheme="majorHAnsi" w:cstheme="majorHAnsi"/>
          <w:sz w:val="22"/>
        </w:rPr>
      </w:pPr>
      <w:r w:rsidRPr="009F6A9D">
        <w:rPr>
          <w:rFonts w:asciiTheme="majorHAnsi" w:hAnsiTheme="majorHAnsi" w:cstheme="majorHAnsi"/>
          <w:sz w:val="22"/>
        </w:rPr>
        <w:t>Draft Policy Created: August 2026</w:t>
      </w:r>
    </w:p>
    <w:p w14:paraId="7FD5C601" w14:textId="77777777" w:rsidR="006B4A87" w:rsidRDefault="006B4A87">
      <w:pPr>
        <w:jc w:val="center"/>
        <w:rPr>
          <w:rFonts w:asciiTheme="majorHAnsi" w:hAnsiTheme="majorHAnsi" w:cstheme="majorHAnsi"/>
          <w:sz w:val="22"/>
        </w:rPr>
      </w:pPr>
    </w:p>
    <w:p w14:paraId="4F06CB40" w14:textId="77777777" w:rsidR="006B4A87" w:rsidRDefault="006B4A87">
      <w:pPr>
        <w:jc w:val="center"/>
        <w:rPr>
          <w:rFonts w:asciiTheme="majorHAnsi" w:hAnsiTheme="majorHAnsi" w:cstheme="majorHAnsi"/>
          <w:sz w:val="22"/>
        </w:rPr>
      </w:pPr>
    </w:p>
    <w:p w14:paraId="72746187" w14:textId="77777777" w:rsidR="006B4A87" w:rsidRPr="009F6A9D" w:rsidRDefault="006B4A87">
      <w:pPr>
        <w:jc w:val="center"/>
        <w:rPr>
          <w:rFonts w:asciiTheme="majorHAnsi" w:hAnsiTheme="majorHAnsi" w:cstheme="majorHAnsi"/>
        </w:rPr>
      </w:pPr>
    </w:p>
    <w:tbl>
      <w:tblPr>
        <w:tblW w:w="0" w:type="auto"/>
        <w:jc w:val="center"/>
        <w:tblLayout w:type="fixed"/>
        <w:tblLook w:val="04A0" w:firstRow="1" w:lastRow="0" w:firstColumn="1" w:lastColumn="0" w:noHBand="0" w:noVBand="1"/>
      </w:tblPr>
      <w:tblGrid>
        <w:gridCol w:w="3744"/>
        <w:gridCol w:w="6192"/>
        <w:gridCol w:w="140"/>
      </w:tblGrid>
      <w:tr w:rsidR="003017AC" w:rsidRPr="009F6A9D" w14:paraId="5EBB0D79" w14:textId="77777777">
        <w:trPr>
          <w:gridAfter w:val="1"/>
          <w:wAfter w:w="140" w:type="dxa"/>
          <w:jc w:val="center"/>
        </w:trPr>
        <w:tc>
          <w:tcPr>
            <w:tcW w:w="9936" w:type="dxa"/>
            <w:gridSpan w:val="2"/>
            <w:tcBorders>
              <w:top w:val="single" w:sz="6" w:space="0" w:color="6F8F74"/>
              <w:left w:val="single" w:sz="6" w:space="0" w:color="6F8F74"/>
              <w:bottom w:val="single" w:sz="6" w:space="0" w:color="6F8F74"/>
              <w:right w:val="single" w:sz="6" w:space="0" w:color="6F8F74"/>
            </w:tcBorders>
            <w:shd w:val="clear" w:color="auto" w:fill="D6E3BC"/>
            <w:tcMar>
              <w:top w:w="90" w:type="dxa"/>
              <w:left w:w="110" w:type="dxa"/>
              <w:bottom w:w="90" w:type="dxa"/>
              <w:right w:w="110" w:type="dxa"/>
            </w:tcMar>
          </w:tcPr>
          <w:p w14:paraId="34B37F80" w14:textId="77777777" w:rsidR="003017AC" w:rsidRPr="009F6A9D" w:rsidRDefault="00106D40">
            <w:pPr>
              <w:rPr>
                <w:rFonts w:asciiTheme="majorHAnsi" w:hAnsiTheme="majorHAnsi" w:cstheme="majorHAnsi"/>
              </w:rPr>
            </w:pPr>
            <w:r w:rsidRPr="009F6A9D">
              <w:rPr>
                <w:rFonts w:asciiTheme="majorHAnsi" w:hAnsiTheme="majorHAnsi" w:cstheme="majorHAnsi"/>
                <w:b/>
                <w:sz w:val="22"/>
              </w:rPr>
              <w:t>DRAFT FOR GOVERNING BODY APPROVAL</w:t>
            </w:r>
          </w:p>
          <w:p w14:paraId="652F32C1" w14:textId="77777777" w:rsidR="003017AC" w:rsidRPr="009F6A9D" w:rsidRDefault="00106D40">
            <w:pPr>
              <w:pStyle w:val="BodyText"/>
              <w:rPr>
                <w:rFonts w:asciiTheme="majorHAnsi" w:hAnsiTheme="majorHAnsi" w:cstheme="majorHAnsi"/>
              </w:rPr>
            </w:pPr>
            <w:r w:rsidRPr="009F6A9D">
              <w:rPr>
                <w:rFonts w:asciiTheme="majorHAnsi" w:hAnsiTheme="majorHAnsi" w:cstheme="majorHAnsi"/>
              </w:rPr>
              <w:t>Prepared to reflect the Department for Education statutory guidance on allergy safety in schools and related requirements for 2026-27.</w:t>
            </w:r>
          </w:p>
        </w:tc>
      </w:tr>
      <w:tr w:rsidR="003017AC" w:rsidRPr="009F6A9D" w14:paraId="04D9FB42" w14:textId="77777777">
        <w:trPr>
          <w:jc w:val="center"/>
        </w:trPr>
        <w:tc>
          <w:tcPr>
            <w:tcW w:w="3744" w:type="dxa"/>
            <w:tcBorders>
              <w:top w:val="single" w:sz="3" w:space="0" w:color="C7CEC8"/>
              <w:left w:val="single" w:sz="3" w:space="0" w:color="C7CEC8"/>
              <w:bottom w:val="single" w:sz="3" w:space="0" w:color="C7CEC8"/>
              <w:right w:val="single" w:sz="3" w:space="0" w:color="C7CEC8"/>
            </w:tcBorders>
            <w:tcMar>
              <w:top w:w="55" w:type="dxa"/>
              <w:left w:w="80" w:type="dxa"/>
              <w:bottom w:w="55" w:type="dxa"/>
              <w:right w:w="80" w:type="dxa"/>
            </w:tcMar>
          </w:tcPr>
          <w:p w14:paraId="4900C25C" w14:textId="77777777" w:rsidR="003017AC" w:rsidRPr="009F6A9D" w:rsidRDefault="00106D40">
            <w:pPr>
              <w:pStyle w:val="BodyText"/>
              <w:rPr>
                <w:rFonts w:asciiTheme="majorHAnsi" w:hAnsiTheme="majorHAnsi" w:cstheme="majorHAnsi"/>
              </w:rPr>
            </w:pPr>
            <w:r w:rsidRPr="009F6A9D">
              <w:rPr>
                <w:rFonts w:asciiTheme="majorHAnsi" w:hAnsiTheme="majorHAnsi" w:cstheme="majorHAnsi"/>
                <w:b/>
              </w:rPr>
              <w:lastRenderedPageBreak/>
              <w:t>Headteacher</w:t>
            </w:r>
          </w:p>
        </w:tc>
        <w:tc>
          <w:tcPr>
            <w:tcW w:w="6048" w:type="dxa"/>
            <w:gridSpan w:val="2"/>
            <w:tcBorders>
              <w:top w:val="single" w:sz="3" w:space="0" w:color="C7CEC8"/>
              <w:left w:val="single" w:sz="3" w:space="0" w:color="C7CEC8"/>
              <w:bottom w:val="single" w:sz="3" w:space="0" w:color="C7CEC8"/>
              <w:right w:val="single" w:sz="3" w:space="0" w:color="C7CEC8"/>
            </w:tcBorders>
            <w:tcMar>
              <w:top w:w="55" w:type="dxa"/>
              <w:left w:w="80" w:type="dxa"/>
              <w:bottom w:w="55" w:type="dxa"/>
              <w:right w:w="80" w:type="dxa"/>
            </w:tcMar>
          </w:tcPr>
          <w:p w14:paraId="3D2D1060" w14:textId="77777777" w:rsidR="003017AC" w:rsidRPr="009F6A9D" w:rsidRDefault="00106D40">
            <w:pPr>
              <w:pStyle w:val="BodyText"/>
              <w:rPr>
                <w:rFonts w:asciiTheme="majorHAnsi" w:hAnsiTheme="majorHAnsi" w:cstheme="majorHAnsi"/>
              </w:rPr>
            </w:pPr>
            <w:r w:rsidRPr="009F6A9D">
              <w:rPr>
                <w:rFonts w:asciiTheme="majorHAnsi" w:hAnsiTheme="majorHAnsi" w:cstheme="majorHAnsi"/>
              </w:rPr>
              <w:t>Mrs Joanna Green</w:t>
            </w:r>
          </w:p>
        </w:tc>
      </w:tr>
      <w:tr w:rsidR="003017AC" w:rsidRPr="009F6A9D" w14:paraId="56BE73EE" w14:textId="77777777">
        <w:trPr>
          <w:jc w:val="center"/>
        </w:trPr>
        <w:tc>
          <w:tcPr>
            <w:tcW w:w="3744" w:type="dxa"/>
            <w:tcBorders>
              <w:top w:val="single" w:sz="3" w:space="0" w:color="C7CEC8"/>
              <w:left w:val="single" w:sz="3" w:space="0" w:color="C7CEC8"/>
              <w:bottom w:val="single" w:sz="3" w:space="0" w:color="C7CEC8"/>
              <w:right w:val="single" w:sz="3" w:space="0" w:color="C7CEC8"/>
            </w:tcBorders>
            <w:shd w:val="clear" w:color="auto" w:fill="F4F6F4"/>
            <w:tcMar>
              <w:top w:w="55" w:type="dxa"/>
              <w:left w:w="80" w:type="dxa"/>
              <w:bottom w:w="55" w:type="dxa"/>
              <w:right w:w="80" w:type="dxa"/>
            </w:tcMar>
          </w:tcPr>
          <w:p w14:paraId="3988D849" w14:textId="77777777" w:rsidR="003017AC" w:rsidRPr="009F6A9D" w:rsidRDefault="00106D40">
            <w:pPr>
              <w:pStyle w:val="BodyText"/>
              <w:rPr>
                <w:rFonts w:asciiTheme="majorHAnsi" w:hAnsiTheme="majorHAnsi" w:cstheme="majorHAnsi"/>
              </w:rPr>
            </w:pPr>
            <w:r w:rsidRPr="009F6A9D">
              <w:rPr>
                <w:rFonts w:asciiTheme="majorHAnsi" w:hAnsiTheme="majorHAnsi" w:cstheme="majorHAnsi"/>
                <w:b/>
              </w:rPr>
              <w:t>Allergy Safety Lead</w:t>
            </w:r>
          </w:p>
        </w:tc>
        <w:tc>
          <w:tcPr>
            <w:tcW w:w="6048" w:type="dxa"/>
            <w:gridSpan w:val="2"/>
            <w:tcBorders>
              <w:top w:val="single" w:sz="3" w:space="0" w:color="C7CEC8"/>
              <w:left w:val="single" w:sz="3" w:space="0" w:color="C7CEC8"/>
              <w:bottom w:val="single" w:sz="3" w:space="0" w:color="C7CEC8"/>
              <w:right w:val="single" w:sz="3" w:space="0" w:color="C7CEC8"/>
            </w:tcBorders>
            <w:shd w:val="clear" w:color="auto" w:fill="F4F6F4"/>
            <w:tcMar>
              <w:top w:w="55" w:type="dxa"/>
              <w:left w:w="80" w:type="dxa"/>
              <w:bottom w:w="55" w:type="dxa"/>
              <w:right w:w="80" w:type="dxa"/>
            </w:tcMar>
          </w:tcPr>
          <w:p w14:paraId="51DE4308" w14:textId="77777777" w:rsidR="003017AC" w:rsidRPr="009F6A9D" w:rsidRDefault="00106D40">
            <w:pPr>
              <w:pStyle w:val="BodyText"/>
              <w:rPr>
                <w:rFonts w:asciiTheme="majorHAnsi" w:hAnsiTheme="majorHAnsi" w:cstheme="majorHAnsi"/>
              </w:rPr>
            </w:pPr>
            <w:r w:rsidRPr="009F6A9D">
              <w:rPr>
                <w:rFonts w:asciiTheme="majorHAnsi" w:hAnsiTheme="majorHAnsi" w:cstheme="majorHAnsi"/>
              </w:rPr>
              <w:t>Mrs Joanna Green (Headteacher)</w:t>
            </w:r>
          </w:p>
        </w:tc>
      </w:tr>
      <w:tr w:rsidR="003017AC" w:rsidRPr="009F6A9D" w14:paraId="38A31221" w14:textId="77777777">
        <w:trPr>
          <w:jc w:val="center"/>
        </w:trPr>
        <w:tc>
          <w:tcPr>
            <w:tcW w:w="3744" w:type="dxa"/>
            <w:tcBorders>
              <w:top w:val="single" w:sz="3" w:space="0" w:color="C7CEC8"/>
              <w:left w:val="single" w:sz="3" w:space="0" w:color="C7CEC8"/>
              <w:bottom w:val="single" w:sz="3" w:space="0" w:color="C7CEC8"/>
              <w:right w:val="single" w:sz="3" w:space="0" w:color="C7CEC8"/>
            </w:tcBorders>
            <w:tcMar>
              <w:top w:w="55" w:type="dxa"/>
              <w:left w:w="80" w:type="dxa"/>
              <w:bottom w:w="55" w:type="dxa"/>
              <w:right w:w="80" w:type="dxa"/>
            </w:tcMar>
          </w:tcPr>
          <w:p w14:paraId="63724C1F" w14:textId="77777777" w:rsidR="003017AC" w:rsidRPr="009F6A9D" w:rsidRDefault="00106D40">
            <w:pPr>
              <w:pStyle w:val="BodyText"/>
              <w:rPr>
                <w:rFonts w:asciiTheme="majorHAnsi" w:hAnsiTheme="majorHAnsi" w:cstheme="majorHAnsi"/>
              </w:rPr>
            </w:pPr>
            <w:r w:rsidRPr="009F6A9D">
              <w:rPr>
                <w:rFonts w:asciiTheme="majorHAnsi" w:hAnsiTheme="majorHAnsi" w:cstheme="majorHAnsi"/>
                <w:b/>
              </w:rPr>
              <w:t>Nominated monthly AAI checker 1</w:t>
            </w:r>
          </w:p>
        </w:tc>
        <w:tc>
          <w:tcPr>
            <w:tcW w:w="6048" w:type="dxa"/>
            <w:gridSpan w:val="2"/>
            <w:tcBorders>
              <w:top w:val="single" w:sz="3" w:space="0" w:color="C7CEC8"/>
              <w:left w:val="single" w:sz="3" w:space="0" w:color="C7CEC8"/>
              <w:bottom w:val="single" w:sz="3" w:space="0" w:color="C7CEC8"/>
              <w:right w:val="single" w:sz="3" w:space="0" w:color="C7CEC8"/>
            </w:tcBorders>
            <w:tcMar>
              <w:top w:w="55" w:type="dxa"/>
              <w:left w:w="80" w:type="dxa"/>
              <w:bottom w:w="55" w:type="dxa"/>
              <w:right w:w="80" w:type="dxa"/>
            </w:tcMar>
          </w:tcPr>
          <w:p w14:paraId="32DF3939" w14:textId="77777777" w:rsidR="003017AC" w:rsidRPr="009F6A9D" w:rsidRDefault="00106D40">
            <w:pPr>
              <w:pStyle w:val="BodyText"/>
              <w:rPr>
                <w:rFonts w:asciiTheme="majorHAnsi" w:hAnsiTheme="majorHAnsi" w:cstheme="majorHAnsi"/>
              </w:rPr>
            </w:pPr>
            <w:r w:rsidRPr="009F6A9D">
              <w:rPr>
                <w:rFonts w:asciiTheme="majorHAnsi" w:hAnsiTheme="majorHAnsi" w:cstheme="majorHAnsi"/>
              </w:rPr>
              <w:t>Mrs Joanna Green</w:t>
            </w:r>
          </w:p>
        </w:tc>
      </w:tr>
      <w:tr w:rsidR="003017AC" w:rsidRPr="009F6A9D" w14:paraId="35331743" w14:textId="77777777">
        <w:trPr>
          <w:jc w:val="center"/>
        </w:trPr>
        <w:tc>
          <w:tcPr>
            <w:tcW w:w="3744" w:type="dxa"/>
            <w:tcBorders>
              <w:top w:val="single" w:sz="3" w:space="0" w:color="C7CEC8"/>
              <w:left w:val="single" w:sz="3" w:space="0" w:color="C7CEC8"/>
              <w:bottom w:val="single" w:sz="3" w:space="0" w:color="C7CEC8"/>
              <w:right w:val="single" w:sz="3" w:space="0" w:color="C7CEC8"/>
            </w:tcBorders>
            <w:shd w:val="clear" w:color="auto" w:fill="F4F6F4"/>
            <w:tcMar>
              <w:top w:w="55" w:type="dxa"/>
              <w:left w:w="80" w:type="dxa"/>
              <w:bottom w:w="55" w:type="dxa"/>
              <w:right w:w="80" w:type="dxa"/>
            </w:tcMar>
          </w:tcPr>
          <w:p w14:paraId="62FB4E55" w14:textId="77777777" w:rsidR="003017AC" w:rsidRPr="009F6A9D" w:rsidRDefault="00106D40">
            <w:pPr>
              <w:pStyle w:val="BodyText"/>
              <w:rPr>
                <w:rFonts w:asciiTheme="majorHAnsi" w:hAnsiTheme="majorHAnsi" w:cstheme="majorHAnsi"/>
              </w:rPr>
            </w:pPr>
            <w:r w:rsidRPr="009F6A9D">
              <w:rPr>
                <w:rFonts w:asciiTheme="majorHAnsi" w:hAnsiTheme="majorHAnsi" w:cstheme="majorHAnsi"/>
                <w:b/>
              </w:rPr>
              <w:t>Nominated monthly AAI checker 2</w:t>
            </w:r>
          </w:p>
        </w:tc>
        <w:tc>
          <w:tcPr>
            <w:tcW w:w="6048" w:type="dxa"/>
            <w:gridSpan w:val="2"/>
            <w:tcBorders>
              <w:top w:val="single" w:sz="3" w:space="0" w:color="C7CEC8"/>
              <w:left w:val="single" w:sz="3" w:space="0" w:color="C7CEC8"/>
              <w:bottom w:val="single" w:sz="3" w:space="0" w:color="C7CEC8"/>
              <w:right w:val="single" w:sz="3" w:space="0" w:color="C7CEC8"/>
            </w:tcBorders>
            <w:shd w:val="clear" w:color="auto" w:fill="F4F6F4"/>
            <w:tcMar>
              <w:top w:w="55" w:type="dxa"/>
              <w:left w:w="80" w:type="dxa"/>
              <w:bottom w:w="55" w:type="dxa"/>
              <w:right w:w="80" w:type="dxa"/>
            </w:tcMar>
          </w:tcPr>
          <w:p w14:paraId="5DF9049E" w14:textId="03C0B1C3" w:rsidR="003017AC" w:rsidRPr="009F6A9D" w:rsidRDefault="00DE1FCB">
            <w:pPr>
              <w:pStyle w:val="BodyText"/>
              <w:rPr>
                <w:rFonts w:asciiTheme="majorHAnsi" w:hAnsiTheme="majorHAnsi" w:cstheme="majorHAnsi"/>
              </w:rPr>
            </w:pPr>
            <w:proofErr w:type="spellStart"/>
            <w:r w:rsidRPr="00DE1FCB">
              <w:rPr>
                <w:rFonts w:asciiTheme="majorHAnsi" w:hAnsiTheme="majorHAnsi" w:cstheme="majorHAnsi"/>
                <w:shd w:val="clear" w:color="auto" w:fill="FFF2CC"/>
              </w:rPr>
              <w:t>Mrs</w:t>
            </w:r>
            <w:proofErr w:type="spellEnd"/>
            <w:r w:rsidRPr="00DE1FCB">
              <w:rPr>
                <w:rFonts w:asciiTheme="majorHAnsi" w:hAnsiTheme="majorHAnsi" w:cstheme="majorHAnsi"/>
                <w:shd w:val="clear" w:color="auto" w:fill="FFF2CC"/>
              </w:rPr>
              <w:t xml:space="preserve"> Alison Spencer</w:t>
            </w:r>
          </w:p>
        </w:tc>
      </w:tr>
      <w:tr w:rsidR="003017AC" w:rsidRPr="009F6A9D" w14:paraId="7537F7A0" w14:textId="77777777">
        <w:trPr>
          <w:jc w:val="center"/>
        </w:trPr>
        <w:tc>
          <w:tcPr>
            <w:tcW w:w="3744" w:type="dxa"/>
            <w:tcBorders>
              <w:top w:val="single" w:sz="3" w:space="0" w:color="C7CEC8"/>
              <w:left w:val="single" w:sz="3" w:space="0" w:color="C7CEC8"/>
              <w:bottom w:val="single" w:sz="3" w:space="0" w:color="C7CEC8"/>
              <w:right w:val="single" w:sz="3" w:space="0" w:color="C7CEC8"/>
            </w:tcBorders>
            <w:tcMar>
              <w:top w:w="55" w:type="dxa"/>
              <w:left w:w="80" w:type="dxa"/>
              <w:bottom w:w="55" w:type="dxa"/>
              <w:right w:w="80" w:type="dxa"/>
            </w:tcMar>
          </w:tcPr>
          <w:p w14:paraId="04103478" w14:textId="77777777" w:rsidR="003017AC" w:rsidRPr="009F6A9D" w:rsidRDefault="00106D40">
            <w:pPr>
              <w:pStyle w:val="BodyText"/>
              <w:rPr>
                <w:rFonts w:asciiTheme="majorHAnsi" w:hAnsiTheme="majorHAnsi" w:cstheme="majorHAnsi"/>
              </w:rPr>
            </w:pPr>
            <w:r w:rsidRPr="009F6A9D">
              <w:rPr>
                <w:rFonts w:asciiTheme="majorHAnsi" w:hAnsiTheme="majorHAnsi" w:cstheme="majorHAnsi"/>
                <w:b/>
              </w:rPr>
              <w:t>Policy approval</w:t>
            </w:r>
          </w:p>
        </w:tc>
        <w:tc>
          <w:tcPr>
            <w:tcW w:w="6048" w:type="dxa"/>
            <w:gridSpan w:val="2"/>
            <w:tcBorders>
              <w:top w:val="single" w:sz="3" w:space="0" w:color="C7CEC8"/>
              <w:left w:val="single" w:sz="3" w:space="0" w:color="C7CEC8"/>
              <w:bottom w:val="single" w:sz="3" w:space="0" w:color="C7CEC8"/>
              <w:right w:val="single" w:sz="3" w:space="0" w:color="C7CEC8"/>
            </w:tcBorders>
            <w:tcMar>
              <w:top w:w="55" w:type="dxa"/>
              <w:left w:w="80" w:type="dxa"/>
              <w:bottom w:w="55" w:type="dxa"/>
              <w:right w:w="80" w:type="dxa"/>
            </w:tcMar>
          </w:tcPr>
          <w:p w14:paraId="7CB98BDF" w14:textId="2A470E4B" w:rsidR="003017AC" w:rsidRPr="009F6A9D" w:rsidRDefault="003017AC">
            <w:pPr>
              <w:pStyle w:val="BodyText"/>
              <w:rPr>
                <w:rFonts w:asciiTheme="majorHAnsi" w:hAnsiTheme="majorHAnsi" w:cstheme="majorHAnsi"/>
              </w:rPr>
            </w:pPr>
          </w:p>
        </w:tc>
      </w:tr>
      <w:tr w:rsidR="003017AC" w:rsidRPr="009F6A9D" w14:paraId="19808EB3" w14:textId="77777777">
        <w:trPr>
          <w:jc w:val="center"/>
        </w:trPr>
        <w:tc>
          <w:tcPr>
            <w:tcW w:w="3744" w:type="dxa"/>
            <w:tcBorders>
              <w:top w:val="single" w:sz="3" w:space="0" w:color="C7CEC8"/>
              <w:left w:val="single" w:sz="3" w:space="0" w:color="C7CEC8"/>
              <w:bottom w:val="single" w:sz="3" w:space="0" w:color="C7CEC8"/>
              <w:right w:val="single" w:sz="3" w:space="0" w:color="C7CEC8"/>
            </w:tcBorders>
            <w:shd w:val="clear" w:color="auto" w:fill="F4F6F4"/>
            <w:tcMar>
              <w:top w:w="55" w:type="dxa"/>
              <w:left w:w="80" w:type="dxa"/>
              <w:bottom w:w="55" w:type="dxa"/>
              <w:right w:w="80" w:type="dxa"/>
            </w:tcMar>
          </w:tcPr>
          <w:p w14:paraId="7F239AA6" w14:textId="77777777" w:rsidR="003017AC" w:rsidRPr="009F6A9D" w:rsidRDefault="00106D40">
            <w:pPr>
              <w:pStyle w:val="BodyText"/>
              <w:rPr>
                <w:rFonts w:asciiTheme="majorHAnsi" w:hAnsiTheme="majorHAnsi" w:cstheme="majorHAnsi"/>
              </w:rPr>
            </w:pPr>
            <w:r w:rsidRPr="009F6A9D">
              <w:rPr>
                <w:rFonts w:asciiTheme="majorHAnsi" w:hAnsiTheme="majorHAnsi" w:cstheme="majorHAnsi"/>
                <w:b/>
              </w:rPr>
              <w:t>Next scheduled review</w:t>
            </w:r>
          </w:p>
        </w:tc>
        <w:tc>
          <w:tcPr>
            <w:tcW w:w="6048" w:type="dxa"/>
            <w:gridSpan w:val="2"/>
            <w:tcBorders>
              <w:top w:val="single" w:sz="3" w:space="0" w:color="C7CEC8"/>
              <w:left w:val="single" w:sz="3" w:space="0" w:color="C7CEC8"/>
              <w:bottom w:val="single" w:sz="3" w:space="0" w:color="C7CEC8"/>
              <w:right w:val="single" w:sz="3" w:space="0" w:color="C7CEC8"/>
            </w:tcBorders>
            <w:shd w:val="clear" w:color="auto" w:fill="F4F6F4"/>
            <w:tcMar>
              <w:top w:w="55" w:type="dxa"/>
              <w:left w:w="80" w:type="dxa"/>
              <w:bottom w:w="55" w:type="dxa"/>
              <w:right w:w="80" w:type="dxa"/>
            </w:tcMar>
          </w:tcPr>
          <w:p w14:paraId="13F0D74E" w14:textId="77777777" w:rsidR="003017AC" w:rsidRPr="009F6A9D" w:rsidRDefault="00106D40">
            <w:pPr>
              <w:pStyle w:val="BodyText"/>
              <w:rPr>
                <w:rFonts w:asciiTheme="majorHAnsi" w:hAnsiTheme="majorHAnsi" w:cstheme="majorHAnsi"/>
              </w:rPr>
            </w:pPr>
            <w:r w:rsidRPr="009F6A9D">
              <w:rPr>
                <w:rFonts w:asciiTheme="majorHAnsi" w:hAnsiTheme="majorHAnsi" w:cstheme="majorHAnsi"/>
              </w:rPr>
              <w:t>September 2027, or sooner following a serious incident, near miss or change in guidance</w:t>
            </w:r>
          </w:p>
        </w:tc>
      </w:tr>
    </w:tbl>
    <w:p w14:paraId="395964A1" w14:textId="77777777" w:rsidR="003017AC" w:rsidRPr="009F6A9D" w:rsidRDefault="003017AC">
      <w:pPr>
        <w:rPr>
          <w:rFonts w:asciiTheme="majorHAnsi" w:hAnsiTheme="majorHAnsi" w:cstheme="majorHAnsi"/>
        </w:rPr>
        <w:sectPr w:rsidR="003017AC" w:rsidRPr="009F6A9D">
          <w:pgSz w:w="12240" w:h="15840"/>
          <w:pgMar w:top="1080" w:right="1152" w:bottom="1008" w:left="1152" w:header="432" w:footer="432" w:gutter="0"/>
          <w:cols w:space="720"/>
          <w:docGrid w:linePitch="360"/>
        </w:sectPr>
      </w:pPr>
    </w:p>
    <w:p w14:paraId="35763FDF" w14:textId="77777777" w:rsidR="003017AC" w:rsidRPr="009F6A9D" w:rsidRDefault="00106D40">
      <w:pPr>
        <w:pStyle w:val="Heading1"/>
        <w:rPr>
          <w:rFonts w:cstheme="majorHAnsi"/>
          <w:color w:val="auto"/>
        </w:rPr>
      </w:pPr>
      <w:r w:rsidRPr="009F6A9D">
        <w:rPr>
          <w:rFonts w:cstheme="majorHAnsi"/>
          <w:color w:val="auto"/>
        </w:rPr>
        <w:lastRenderedPageBreak/>
        <w:t>Document status and key arrangements</w:t>
      </w:r>
    </w:p>
    <w:p w14:paraId="147D0E27" w14:textId="77777777" w:rsidR="003017AC" w:rsidRDefault="00106D40">
      <w:pPr>
        <w:pStyle w:val="BodyText"/>
        <w:keepLines/>
        <w:rPr>
          <w:rFonts w:asciiTheme="majorHAnsi" w:hAnsiTheme="majorHAnsi" w:cstheme="majorHAnsi"/>
        </w:rPr>
      </w:pPr>
      <w:r w:rsidRPr="009F6A9D">
        <w:rPr>
          <w:rFonts w:asciiTheme="majorHAnsi" w:hAnsiTheme="majorHAnsi" w:cstheme="majorHAnsi"/>
        </w:rPr>
        <w:t>This policy sets out Gateford Park Primary School’s approach to allergy safety. It applies to pupils, staff, volunteers, visitors, contractors and external providers where their activities may affect allergy safety. It should be read alongside the school’s Supporting Pupils with Medical Conditions Policy, Health and Safety Policy, school food/catering procedures and individual healthcare plans (IHPs).</w:t>
      </w:r>
    </w:p>
    <w:p w14:paraId="5D1C1DC3" w14:textId="77777777" w:rsidR="008A2AC6" w:rsidRPr="009F6A9D" w:rsidRDefault="008A2AC6">
      <w:pPr>
        <w:pStyle w:val="BodyText"/>
        <w:keepLines/>
        <w:rPr>
          <w:rFonts w:asciiTheme="majorHAnsi" w:hAnsiTheme="majorHAnsi" w:cstheme="majorHAnsi"/>
        </w:rPr>
      </w:pPr>
    </w:p>
    <w:tbl>
      <w:tblPr>
        <w:tblW w:w="0" w:type="auto"/>
        <w:jc w:val="center"/>
        <w:tblLayout w:type="fixed"/>
        <w:tblLook w:val="04A0" w:firstRow="1" w:lastRow="0" w:firstColumn="1" w:lastColumn="0" w:noHBand="0" w:noVBand="1"/>
      </w:tblPr>
      <w:tblGrid>
        <w:gridCol w:w="3024"/>
        <w:gridCol w:w="6624"/>
      </w:tblGrid>
      <w:tr w:rsidR="003017AC" w:rsidRPr="009F6A9D" w14:paraId="292FDD50" w14:textId="77777777" w:rsidTr="00DE1FCB">
        <w:trPr>
          <w:tblHeader/>
          <w:jc w:val="center"/>
        </w:trPr>
        <w:tc>
          <w:tcPr>
            <w:tcW w:w="3024" w:type="dxa"/>
            <w:tcBorders>
              <w:top w:val="single" w:sz="3" w:space="0" w:color="6F8F74"/>
              <w:left w:val="single" w:sz="3" w:space="0" w:color="6F8F74"/>
              <w:bottom w:val="single" w:sz="3" w:space="0" w:color="6F8F74"/>
              <w:right w:val="single" w:sz="3" w:space="0" w:color="6F8F74"/>
            </w:tcBorders>
            <w:shd w:val="clear" w:color="auto" w:fill="C2D69B" w:themeFill="accent3" w:themeFillTint="99"/>
            <w:tcMar>
              <w:top w:w="80" w:type="dxa"/>
              <w:left w:w="90" w:type="dxa"/>
              <w:bottom w:w="80" w:type="dxa"/>
              <w:right w:w="90" w:type="dxa"/>
            </w:tcMar>
          </w:tcPr>
          <w:p w14:paraId="1C94B43A" w14:textId="77777777" w:rsidR="003017AC" w:rsidRPr="009F6A9D" w:rsidRDefault="00106D40">
            <w:pPr>
              <w:rPr>
                <w:rFonts w:asciiTheme="majorHAnsi" w:hAnsiTheme="majorHAnsi" w:cstheme="majorHAnsi"/>
              </w:rPr>
            </w:pPr>
            <w:r w:rsidRPr="009F6A9D">
              <w:rPr>
                <w:rFonts w:asciiTheme="majorHAnsi" w:hAnsiTheme="majorHAnsi" w:cstheme="majorHAnsi"/>
                <w:b/>
                <w:sz w:val="19"/>
              </w:rPr>
              <w:t>Arrangement</w:t>
            </w:r>
          </w:p>
        </w:tc>
        <w:tc>
          <w:tcPr>
            <w:tcW w:w="6624" w:type="dxa"/>
            <w:tcBorders>
              <w:top w:val="single" w:sz="3" w:space="0" w:color="6F8F74"/>
              <w:left w:val="single" w:sz="3" w:space="0" w:color="6F8F74"/>
              <w:bottom w:val="single" w:sz="3" w:space="0" w:color="6F8F74"/>
              <w:right w:val="single" w:sz="3" w:space="0" w:color="6F8F74"/>
            </w:tcBorders>
            <w:shd w:val="clear" w:color="auto" w:fill="C2D69B" w:themeFill="accent3" w:themeFillTint="99"/>
            <w:tcMar>
              <w:top w:w="80" w:type="dxa"/>
              <w:left w:w="90" w:type="dxa"/>
              <w:bottom w:w="80" w:type="dxa"/>
              <w:right w:w="90" w:type="dxa"/>
            </w:tcMar>
          </w:tcPr>
          <w:p w14:paraId="0FD2E88B" w14:textId="77777777" w:rsidR="003017AC" w:rsidRPr="009F6A9D" w:rsidRDefault="00106D40">
            <w:pPr>
              <w:rPr>
                <w:rFonts w:asciiTheme="majorHAnsi" w:hAnsiTheme="majorHAnsi" w:cstheme="majorHAnsi"/>
              </w:rPr>
            </w:pPr>
            <w:r w:rsidRPr="009F6A9D">
              <w:rPr>
                <w:rFonts w:asciiTheme="majorHAnsi" w:hAnsiTheme="majorHAnsi" w:cstheme="majorHAnsi"/>
                <w:b/>
                <w:sz w:val="19"/>
              </w:rPr>
              <w:t>School position</w:t>
            </w:r>
          </w:p>
        </w:tc>
      </w:tr>
      <w:tr w:rsidR="003017AC" w:rsidRPr="009F6A9D" w14:paraId="5FE1978E" w14:textId="77777777">
        <w:trPr>
          <w:jc w:val="center"/>
        </w:trPr>
        <w:tc>
          <w:tcPr>
            <w:tcW w:w="302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2C49FE1C"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Emergency response</w:t>
            </w:r>
          </w:p>
        </w:tc>
        <w:tc>
          <w:tcPr>
            <w:tcW w:w="662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2DA64CEB"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Call 999 for suspected anaphylaxis or any life-threatening allergic reaction.</w:t>
            </w:r>
          </w:p>
        </w:tc>
      </w:tr>
      <w:tr w:rsidR="003017AC" w:rsidRPr="009F6A9D" w14:paraId="1743430F" w14:textId="77777777">
        <w:trPr>
          <w:jc w:val="center"/>
        </w:trPr>
        <w:tc>
          <w:tcPr>
            <w:tcW w:w="302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6C8007A9"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Allergy Safety Lead</w:t>
            </w:r>
          </w:p>
        </w:tc>
        <w:tc>
          <w:tcPr>
            <w:tcW w:w="662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06B2DFE0"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Mrs Joanna Green, Headteacher.</w:t>
            </w:r>
          </w:p>
        </w:tc>
      </w:tr>
      <w:tr w:rsidR="003017AC" w:rsidRPr="009F6A9D" w14:paraId="7839E5E1" w14:textId="77777777">
        <w:trPr>
          <w:jc w:val="center"/>
        </w:trPr>
        <w:tc>
          <w:tcPr>
            <w:tcW w:w="302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0A705026"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Prescribed emergency medication</w:t>
            </w:r>
          </w:p>
        </w:tc>
        <w:tc>
          <w:tcPr>
            <w:tcW w:w="662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11BF700A"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Stored so that it is immediately accessible in accordance with the pupil’s IHP and allergy action plan; it must never be locked away.</w:t>
            </w:r>
          </w:p>
        </w:tc>
      </w:tr>
      <w:tr w:rsidR="003017AC" w:rsidRPr="009F6A9D" w14:paraId="62DB0285" w14:textId="77777777">
        <w:trPr>
          <w:jc w:val="center"/>
        </w:trPr>
        <w:tc>
          <w:tcPr>
            <w:tcW w:w="302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6034D60F"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Spare school AAIs</w:t>
            </w:r>
          </w:p>
        </w:tc>
        <w:tc>
          <w:tcPr>
            <w:tcW w:w="662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6604D7E3" w14:textId="29D81140" w:rsidR="003017AC" w:rsidRPr="009F6A9D" w:rsidRDefault="00891065">
            <w:pPr>
              <w:pStyle w:val="BodyText"/>
              <w:spacing w:after="0"/>
              <w:rPr>
                <w:rFonts w:asciiTheme="majorHAnsi" w:hAnsiTheme="majorHAnsi" w:cstheme="majorHAnsi"/>
              </w:rPr>
            </w:pPr>
            <w:r w:rsidRPr="00891065">
              <w:rPr>
                <w:rFonts w:asciiTheme="majorHAnsi" w:hAnsiTheme="majorHAnsi" w:cstheme="majorHAnsi"/>
                <w:shd w:val="clear" w:color="auto" w:fill="FFF2CC"/>
              </w:rPr>
              <w:t>School Office</w:t>
            </w:r>
          </w:p>
        </w:tc>
      </w:tr>
      <w:tr w:rsidR="003017AC" w:rsidRPr="009F6A9D" w14:paraId="102D9311" w14:textId="77777777">
        <w:trPr>
          <w:jc w:val="center"/>
        </w:trPr>
        <w:tc>
          <w:tcPr>
            <w:tcW w:w="302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06FC871B"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Allergy information</w:t>
            </w:r>
          </w:p>
        </w:tc>
        <w:tc>
          <w:tcPr>
            <w:tcW w:w="662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20D7C1AB"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Maintained on the school’s information systems and made readily available to relevant staff and catering staff on a need-to-know basis.</w:t>
            </w:r>
          </w:p>
        </w:tc>
      </w:tr>
    </w:tbl>
    <w:p w14:paraId="3F6FB3C4" w14:textId="77777777" w:rsidR="003017AC" w:rsidRPr="009F6A9D" w:rsidRDefault="003017AC">
      <w:pPr>
        <w:pStyle w:val="BodyText"/>
        <w:rPr>
          <w:rFonts w:asciiTheme="majorHAnsi" w:hAnsiTheme="majorHAnsi" w:cstheme="majorHAnsi"/>
        </w:rPr>
      </w:pPr>
    </w:p>
    <w:p w14:paraId="3B502FB5" w14:textId="77777777" w:rsidR="003017AC" w:rsidRPr="009F6A9D" w:rsidRDefault="00106D40">
      <w:pPr>
        <w:pStyle w:val="Heading1"/>
        <w:rPr>
          <w:rFonts w:cstheme="majorHAnsi"/>
          <w:color w:val="auto"/>
        </w:rPr>
      </w:pPr>
      <w:r w:rsidRPr="009F6A9D">
        <w:rPr>
          <w:rFonts w:cstheme="majorHAnsi"/>
          <w:color w:val="auto"/>
        </w:rPr>
        <w:t>Contents</w:t>
      </w:r>
    </w:p>
    <w:p w14:paraId="0E4313DD"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1. Aims</w:t>
      </w:r>
    </w:p>
    <w:p w14:paraId="3E5DC85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2. Legislation and guidance</w:t>
      </w:r>
    </w:p>
    <w:p w14:paraId="2EDBC79D"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3. Roles and responsibilities</w:t>
      </w:r>
    </w:p>
    <w:p w14:paraId="40859E3D"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4. Identifying individuals at risk</w:t>
      </w:r>
    </w:p>
    <w:p w14:paraId="61145995"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5. Assessing risk</w:t>
      </w:r>
    </w:p>
    <w:p w14:paraId="64BD97A5"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6. Minimising risk</w:t>
      </w:r>
    </w:p>
    <w:p w14:paraId="586F9212"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7. Procedures for handling an allergic reaction</w:t>
      </w:r>
    </w:p>
    <w:p w14:paraId="4B43A36A"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8. Adrenaline devices (ADs)</w:t>
      </w:r>
    </w:p>
    <w:p w14:paraId="7CE10267"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9. Serious incidents and “near misses”</w:t>
      </w:r>
    </w:p>
    <w:p w14:paraId="5F263502"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10. Allergy awareness</w:t>
      </w:r>
    </w:p>
    <w:p w14:paraId="57CC76DA"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11. Wellbeing</w:t>
      </w:r>
    </w:p>
    <w:p w14:paraId="59F85CF7"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12. Information sharing</w:t>
      </w:r>
    </w:p>
    <w:p w14:paraId="28134C6B"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13. Monitoring arrangements</w:t>
      </w:r>
    </w:p>
    <w:p w14:paraId="076772CD"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14. Links to other policies</w:t>
      </w:r>
    </w:p>
    <w:p w14:paraId="26ABD25B"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Appendix 1: Staff response to suspected anaphylaxis</w:t>
      </w:r>
    </w:p>
    <w:p w14:paraId="28B1A32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Appendix 2: Allergy risk-assessment prompts</w:t>
      </w:r>
    </w:p>
    <w:p w14:paraId="41CD14EA" w14:textId="77777777" w:rsidR="003017AC" w:rsidRPr="009F6A9D" w:rsidRDefault="00106D40">
      <w:pPr>
        <w:pStyle w:val="Heading1"/>
        <w:rPr>
          <w:rFonts w:cstheme="majorHAnsi"/>
          <w:color w:val="auto"/>
        </w:rPr>
      </w:pPr>
      <w:r w:rsidRPr="009F6A9D">
        <w:rPr>
          <w:rFonts w:cstheme="majorHAnsi"/>
          <w:color w:val="auto"/>
        </w:rPr>
        <w:t>1. Aims</w:t>
      </w:r>
    </w:p>
    <w:p w14:paraId="73A8379C"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Gateford Park Primary School is committed to creating an inclusive environment in which pupils with allergies can participate safely and confidently in school life. Allergy safety depends on reducing avoidable exposure, recognising reactions quickly and responding without delay.</w:t>
      </w:r>
    </w:p>
    <w:p w14:paraId="176A5D60"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This policy aims to:</w:t>
      </w:r>
    </w:p>
    <w:p w14:paraId="668CEF8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lastRenderedPageBreak/>
        <w:t>• set out the school’s approach to allergy safety, including reducing the risk of exposure to known allergens and the procedures in place in the event of an allergic reaction;</w:t>
      </w:r>
    </w:p>
    <w:p w14:paraId="47CE356F"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ensure pupils with allergies are supported in a way that protects their wellbeing, dignity, participation and inclusion;</w:t>
      </w:r>
    </w:p>
    <w:p w14:paraId="4CE4B4EC"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promote and maintain allergy awareness across the school community;</w:t>
      </w:r>
    </w:p>
    <w:p w14:paraId="7CFD9427"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ensure information about allergies, emergency medication and individual arrangements is current, accessible to relevant staff and used consistently;</w:t>
      </w:r>
    </w:p>
    <w:p w14:paraId="272994E1"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provide clear arrangements for learning from serious incidents and near misses.</w:t>
      </w:r>
    </w:p>
    <w:p w14:paraId="01414732" w14:textId="77777777" w:rsidR="003017AC" w:rsidRPr="009F6A9D" w:rsidRDefault="00106D40">
      <w:pPr>
        <w:pStyle w:val="Heading1"/>
        <w:rPr>
          <w:rFonts w:cstheme="majorHAnsi"/>
          <w:color w:val="auto"/>
        </w:rPr>
      </w:pPr>
      <w:r w:rsidRPr="009F6A9D">
        <w:rPr>
          <w:rFonts w:cstheme="majorHAnsi"/>
          <w:color w:val="auto"/>
        </w:rPr>
        <w:t>2. Legislation and guidance</w:t>
      </w:r>
    </w:p>
    <w:p w14:paraId="4054F945"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This policy is based on the Department for Education statutory guidance on allergy safety in schools and supporting pupils with medical conditions at school, and the Department of Health and Social Care guidance on using emergency adrenaline auto-injectors in schools. It also reflects the following legislation:</w:t>
      </w:r>
    </w:p>
    <w:p w14:paraId="16EB9713"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the Food Information Regulations 2014;</w:t>
      </w:r>
    </w:p>
    <w:p w14:paraId="670F6C06"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the Food Information (Amendment) (England) Regulations 2019.</w:t>
      </w:r>
    </w:p>
    <w:p w14:paraId="55AFFDE4"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school will update this policy where national guidance or legal requirements change during the policy period.</w:t>
      </w:r>
    </w:p>
    <w:p w14:paraId="5BABFA41" w14:textId="77777777" w:rsidR="003017AC" w:rsidRPr="009F6A9D" w:rsidRDefault="00106D40">
      <w:pPr>
        <w:pStyle w:val="Heading1"/>
        <w:rPr>
          <w:rFonts w:cstheme="majorHAnsi"/>
          <w:color w:val="auto"/>
        </w:rPr>
      </w:pPr>
      <w:r w:rsidRPr="009F6A9D">
        <w:rPr>
          <w:rFonts w:cstheme="majorHAnsi"/>
          <w:color w:val="auto"/>
        </w:rPr>
        <w:t>3. Roles and responsibilities</w:t>
      </w:r>
    </w:p>
    <w:p w14:paraId="6FAC7510" w14:textId="77777777" w:rsidR="003017AC" w:rsidRPr="009F6A9D" w:rsidRDefault="00106D40">
      <w:pPr>
        <w:pStyle w:val="Heading2"/>
        <w:rPr>
          <w:rFonts w:cstheme="majorHAnsi"/>
          <w:color w:val="auto"/>
        </w:rPr>
      </w:pPr>
      <w:r w:rsidRPr="009F6A9D">
        <w:rPr>
          <w:rFonts w:cstheme="majorHAnsi"/>
          <w:color w:val="auto"/>
        </w:rPr>
        <w:t>3.1 The governing body</w:t>
      </w:r>
    </w:p>
    <w:p w14:paraId="4613E4C4"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 xml:space="preserve">The governing body is responsible for ensuring that allergy safety is appropriately governed and that risks relating to pupils with allergies are actively managed. It ensures that the school has an effective Allergy Safety Policy, that sufficient resources are available to implement the policy, and that arrangements are in place to reduce exposure to known allergens and respond to anaphylaxis. Governors receive appropriate information about allergy-related incidents and near misses so that they can monitor </w:t>
      </w:r>
      <w:r w:rsidRPr="009F6A9D">
        <w:rPr>
          <w:rFonts w:asciiTheme="majorHAnsi" w:hAnsiTheme="majorHAnsi" w:cstheme="majorHAnsi"/>
        </w:rPr>
        <w:t>themes, lessons learned and any actions required. Day-to-day implementation is delegated to the Allergy Safety Lead.</w:t>
      </w:r>
    </w:p>
    <w:p w14:paraId="043C1A15" w14:textId="77777777" w:rsidR="003017AC" w:rsidRPr="009F6A9D" w:rsidRDefault="00106D40">
      <w:pPr>
        <w:pStyle w:val="Heading2"/>
        <w:rPr>
          <w:rFonts w:cstheme="majorHAnsi"/>
          <w:color w:val="auto"/>
        </w:rPr>
      </w:pPr>
      <w:r w:rsidRPr="009F6A9D">
        <w:rPr>
          <w:rFonts w:cstheme="majorHAnsi"/>
          <w:color w:val="auto"/>
        </w:rPr>
        <w:t>3.2 Allergy Safety Lead</w:t>
      </w:r>
    </w:p>
    <w:p w14:paraId="10C15A2B"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nominated Allergy Safety Lead is Mrs Joanna Green, Headteacher. The Allergy Safety Lead is responsible for:</w:t>
      </w:r>
    </w:p>
    <w:p w14:paraId="64ACE27C"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implementing this policy and promoting a consistent whole-school approach;</w:t>
      </w:r>
    </w:p>
    <w:p w14:paraId="57799818"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reviewing the policy at least annually, updating it when needed and ensuring it is published;</w:t>
      </w:r>
    </w:p>
    <w:p w14:paraId="6ECCC3E2"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promoting and maintaining allergy awareness across the school community;</w:t>
      </w:r>
    </w:p>
    <w:p w14:paraId="408395E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developing and reviewing arrangements for the safe storage, checking and disposal of adrenaline devices (ADs);</w:t>
      </w:r>
    </w:p>
    <w:p w14:paraId="131AD933"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ensuring allergy information is current and readily available to relevant staff;</w:t>
      </w:r>
    </w:p>
    <w:p w14:paraId="080B2CEF"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ensuring pupils who require an IHP have an up-to-date plan and pupils with a known food or insect-sting allergy have an appropriate allergy action plan issued by a healthcare professional;</w:t>
      </w:r>
    </w:p>
    <w:p w14:paraId="2FC7712A"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ensuring all staff receive regular allergy-awareness training and understand the school’s procedures;</w:t>
      </w:r>
    </w:p>
    <w:p w14:paraId="114D35C6"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ensuring relevant activities are risk assessed;</w:t>
      </w:r>
    </w:p>
    <w:p w14:paraId="5A14946A"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ensuring serious incidents and near misses are recorded, reviewed and used to improve practice, policy and individual plans.</w:t>
      </w:r>
    </w:p>
    <w:p w14:paraId="628E9C25" w14:textId="77777777" w:rsidR="003017AC" w:rsidRPr="009F6A9D" w:rsidRDefault="00106D40">
      <w:pPr>
        <w:pStyle w:val="PolicyBullet"/>
        <w:rPr>
          <w:rFonts w:asciiTheme="majorHAnsi" w:hAnsiTheme="majorHAnsi" w:cstheme="majorHAnsi"/>
        </w:rPr>
      </w:pPr>
      <w:r w:rsidRPr="009F6A9D">
        <w:rPr>
          <w:rFonts w:asciiTheme="majorHAnsi" w:hAnsiTheme="majorHAnsi" w:cstheme="majorHAnsi"/>
        </w:rPr>
        <w:t>• liaising with parents/carers, relevant healthcare professionals, the catering provider and other services where needed to support safe and inclusive allergy management.</w:t>
      </w:r>
    </w:p>
    <w:p w14:paraId="14091807" w14:textId="77777777" w:rsidR="003017AC" w:rsidRPr="009F6A9D" w:rsidRDefault="00106D40">
      <w:pPr>
        <w:pStyle w:val="Heading2"/>
        <w:rPr>
          <w:rFonts w:cstheme="majorHAnsi"/>
          <w:color w:val="auto"/>
        </w:rPr>
      </w:pPr>
      <w:r w:rsidRPr="009F6A9D">
        <w:rPr>
          <w:rFonts w:cstheme="majorHAnsi"/>
          <w:color w:val="auto"/>
        </w:rPr>
        <w:lastRenderedPageBreak/>
        <w:t>3.3 Headteacher</w:t>
      </w:r>
    </w:p>
    <w:p w14:paraId="3BEB7D30"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 xml:space="preserve">The Headteacher is responsible for ensuring this policy is implemented, appointing a Designated Allergy Lead, ensuring staff receive appropriate training, and ensuring emergency procedures are maintained and reviewed regularly. The Headteacher also decides, in discussion with parents/carers and relevant healthcare professionals, whether a pupil’s allergy can be managed through the school’s usual medical-condition arrangements or whether an IHP is required to specify additional or different arrangements. As </w:t>
      </w:r>
      <w:r w:rsidRPr="009F6A9D">
        <w:rPr>
          <w:rFonts w:asciiTheme="majorHAnsi" w:hAnsiTheme="majorHAnsi" w:cstheme="majorHAnsi"/>
        </w:rPr>
        <w:t>the Headteacher is also the Allergy Safety Lead in this policy, these responsibilities are coordinated.</w:t>
      </w:r>
    </w:p>
    <w:p w14:paraId="542E8090" w14:textId="77777777" w:rsidR="003017AC" w:rsidRPr="009F6A9D" w:rsidRDefault="00106D40">
      <w:pPr>
        <w:pStyle w:val="Heading2"/>
        <w:rPr>
          <w:rFonts w:cstheme="majorHAnsi"/>
          <w:color w:val="auto"/>
        </w:rPr>
      </w:pPr>
      <w:r w:rsidRPr="009F6A9D">
        <w:rPr>
          <w:rFonts w:cstheme="majorHAnsi"/>
          <w:color w:val="auto"/>
        </w:rPr>
        <w:t>3.4 Nominated staff for spare AAI checks</w:t>
      </w:r>
    </w:p>
    <w:p w14:paraId="17070442"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Two nominated staff members are responsible for checking the school’s spare adrenaline auto-injectors (AAIs) at least monthly and arranging replacements before expiry:</w:t>
      </w:r>
    </w:p>
    <w:p w14:paraId="033B19B1"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Checker 1: Mrs Joanna Green.</w:t>
      </w:r>
    </w:p>
    <w:p w14:paraId="0D555A3E" w14:textId="7F1F13B9" w:rsidR="003017AC" w:rsidRPr="009F6A9D" w:rsidRDefault="00106D40">
      <w:pPr>
        <w:pStyle w:val="PolicyBullet"/>
        <w:keepLines/>
        <w:rPr>
          <w:rFonts w:asciiTheme="majorHAnsi" w:hAnsiTheme="majorHAnsi" w:cstheme="majorHAnsi"/>
        </w:rPr>
      </w:pPr>
      <w:r w:rsidRPr="003D2A50">
        <w:rPr>
          <w:rFonts w:asciiTheme="majorHAnsi" w:hAnsiTheme="majorHAnsi" w:cstheme="majorHAnsi"/>
          <w:shd w:val="clear" w:color="auto" w:fill="FFF2CC"/>
        </w:rPr>
        <w:t xml:space="preserve">• Checker 2: </w:t>
      </w:r>
      <w:proofErr w:type="spellStart"/>
      <w:r w:rsidR="003D2A50">
        <w:rPr>
          <w:rFonts w:asciiTheme="majorHAnsi" w:hAnsiTheme="majorHAnsi" w:cstheme="majorHAnsi"/>
          <w:shd w:val="clear" w:color="auto" w:fill="FFF2CC"/>
        </w:rPr>
        <w:t>Mrs</w:t>
      </w:r>
      <w:proofErr w:type="spellEnd"/>
      <w:r w:rsidR="003D2A50">
        <w:rPr>
          <w:rFonts w:asciiTheme="majorHAnsi" w:hAnsiTheme="majorHAnsi" w:cstheme="majorHAnsi"/>
          <w:shd w:val="clear" w:color="auto" w:fill="FFF2CC"/>
        </w:rPr>
        <w:t xml:space="preserve"> Alison Spencer</w:t>
      </w:r>
    </w:p>
    <w:p w14:paraId="1E73C62F"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monthly check confirms that the required spare devices are present, in date, undamaged and stored correctly. The check is recorded.</w:t>
      </w:r>
    </w:p>
    <w:p w14:paraId="5A86B262" w14:textId="77777777" w:rsidR="003017AC" w:rsidRPr="009F6A9D" w:rsidRDefault="00106D40">
      <w:pPr>
        <w:pStyle w:val="Heading2"/>
        <w:rPr>
          <w:rFonts w:cstheme="majorHAnsi"/>
          <w:color w:val="auto"/>
        </w:rPr>
      </w:pPr>
      <w:r w:rsidRPr="009F6A9D">
        <w:rPr>
          <w:rFonts w:cstheme="majorHAnsi"/>
          <w:color w:val="auto"/>
        </w:rPr>
        <w:t>3.5 Teaching, support, wraparound and catering staff</w:t>
      </w:r>
    </w:p>
    <w:p w14:paraId="7C7648D4"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All staff who may be responsible for pupils are expected to:</w:t>
      </w:r>
    </w:p>
    <w:p w14:paraId="60D4F2D6"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promote allergy awareness and a culture in which allergy safety is taken seriously;</w:t>
      </w:r>
    </w:p>
    <w:p w14:paraId="6474E577"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understand this policy and know how to obtain urgent help;</w:t>
      </w:r>
    </w:p>
    <w:p w14:paraId="7393EB61"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recognise the signs of mild and severe allergic reactions, including anaphylaxis;</w:t>
      </w:r>
    </w:p>
    <w:p w14:paraId="0CB9F0B0"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know which pupils with allergies are in their care and the arrangements set out in their IHP or action plan;</w:t>
      </w:r>
    </w:p>
    <w:p w14:paraId="54533A92"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reduce the risk of exposure to known allergens through agreed controls;</w:t>
      </w:r>
    </w:p>
    <w:p w14:paraId="17FADA71"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support the wellbeing and inclusion of pupils with allergies;</w:t>
      </w:r>
    </w:p>
    <w:p w14:paraId="0D9AEE01"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report every allergic reaction, anaphylaxis episode, error or near miss to the Allergy Safety Lead.</w:t>
      </w:r>
    </w:p>
    <w:p w14:paraId="0BA964BF" w14:textId="77777777" w:rsidR="003017AC" w:rsidRPr="009F6A9D" w:rsidRDefault="00106D40">
      <w:pPr>
        <w:pStyle w:val="Heading2"/>
        <w:rPr>
          <w:rFonts w:cstheme="majorHAnsi"/>
          <w:color w:val="auto"/>
        </w:rPr>
      </w:pPr>
      <w:r w:rsidRPr="009F6A9D">
        <w:rPr>
          <w:rFonts w:cstheme="majorHAnsi"/>
          <w:color w:val="auto"/>
        </w:rPr>
        <w:t>3.6 Parents and carers</w:t>
      </w:r>
    </w:p>
    <w:p w14:paraId="7C8AB8B1"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Parents/carers are expected to:</w:t>
      </w:r>
    </w:p>
    <w:p w14:paraId="70DC5F2D"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provide accurate, up-to-date details of their child’s medical needs, dietary requirements and any history of allergy, reaction or anaphylaxis;</w:t>
      </w:r>
    </w:p>
    <w:p w14:paraId="513C2B5F"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provide two in-date prescribed adrenaline devices where required, together with any other medication such as inhalers or antihistamines, and replace them promptly before expiry;</w:t>
      </w:r>
    </w:p>
    <w:p w14:paraId="0C58B641"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provide and update allergy/asthma action plans issued by an appropriate healthcare professional;</w:t>
      </w:r>
    </w:p>
    <w:p w14:paraId="42548DD1"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follow the school’s arrangements for food brought into school and not encourage food sharing;</w:t>
      </w:r>
    </w:p>
    <w:p w14:paraId="40D1593A"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inform the school promptly of any change in diagnosis, medication, dose, trigger, symptoms or treatment plan.</w:t>
      </w:r>
    </w:p>
    <w:p w14:paraId="3A58D8CB" w14:textId="77777777" w:rsidR="003017AC" w:rsidRPr="009F6A9D" w:rsidRDefault="00106D40">
      <w:pPr>
        <w:pStyle w:val="Heading2"/>
        <w:rPr>
          <w:rFonts w:cstheme="majorHAnsi"/>
          <w:color w:val="auto"/>
        </w:rPr>
      </w:pPr>
      <w:r w:rsidRPr="009F6A9D">
        <w:rPr>
          <w:rFonts w:cstheme="majorHAnsi"/>
          <w:color w:val="auto"/>
        </w:rPr>
        <w:t>3.7 Pupils</w:t>
      </w:r>
    </w:p>
    <w:p w14:paraId="7D81AB99"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Pupils are supported to take age-appropriate responsibility for allergy safety. Where developmentally appropriate, pupils with allergies should understand their known allergens, know how and when to seek help and, where agreed in their plan, carry and use their prescribed device. All pupils are expected not to share food, drinks, containers or utensils and to treat peers with allergies respectfully.</w:t>
      </w:r>
    </w:p>
    <w:p w14:paraId="72A11433" w14:textId="77777777" w:rsidR="003017AC" w:rsidRPr="009F6A9D" w:rsidRDefault="00106D40">
      <w:pPr>
        <w:pStyle w:val="Heading1"/>
        <w:rPr>
          <w:rFonts w:cstheme="majorHAnsi"/>
          <w:color w:val="auto"/>
        </w:rPr>
      </w:pPr>
      <w:r w:rsidRPr="009F6A9D">
        <w:rPr>
          <w:rFonts w:cstheme="majorHAnsi"/>
          <w:color w:val="auto"/>
        </w:rPr>
        <w:lastRenderedPageBreak/>
        <w:t>4. Identifying individuals at risk</w:t>
      </w:r>
    </w:p>
    <w:p w14:paraId="2890E00A"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Allergy is a spectrum of allergic conditions. Reactions occur when a susceptible person is exposed to an allergen. Allergic conditions may include hay fever (allergic rhinitis), skin allergies, food allergy, asthma triggered by airborne allergens, insect-sting allergy and medicine allergy. Food-allergic reactions can range from mild symptoms to whole-body reactions including anaphylaxis.</w:t>
      </w:r>
    </w:p>
    <w:p w14:paraId="58EFAEAE" w14:textId="77777777" w:rsidR="003017AC" w:rsidRPr="009F6A9D" w:rsidRDefault="00106D40">
      <w:pPr>
        <w:pStyle w:val="Heading2"/>
        <w:rPr>
          <w:rFonts w:cstheme="majorHAnsi"/>
          <w:color w:val="auto"/>
        </w:rPr>
      </w:pPr>
      <w:r w:rsidRPr="009F6A9D">
        <w:rPr>
          <w:rFonts w:cstheme="majorHAnsi"/>
          <w:color w:val="auto"/>
        </w:rPr>
        <w:t>4.1 Identifying pupils at risk</w:t>
      </w:r>
    </w:p>
    <w:p w14:paraId="7E0D3B40"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school identifies pupils with allergies through its usual medical-information processes. For new starters, parents/carers are asked to provide information before the pupil begins. Where a pupil receives a new diagnosis or joins the school during the year, arrangements are put in place as quickly as possible and the school will make every effort to do so within two weeks. Parents/carers are reminded at least annually to update medical information and are expected to notify the school immediately of chang</w:t>
      </w:r>
      <w:r w:rsidRPr="009F6A9D">
        <w:rPr>
          <w:rFonts w:asciiTheme="majorHAnsi" w:hAnsiTheme="majorHAnsi" w:cstheme="majorHAnsi"/>
        </w:rPr>
        <w:t>es during the year.</w:t>
      </w:r>
    </w:p>
    <w:p w14:paraId="5CA6F19F" w14:textId="77777777" w:rsidR="003017AC" w:rsidRPr="009F6A9D" w:rsidRDefault="00106D40">
      <w:pPr>
        <w:pStyle w:val="Heading2"/>
        <w:rPr>
          <w:rFonts w:cstheme="majorHAnsi"/>
          <w:color w:val="auto"/>
        </w:rPr>
      </w:pPr>
      <w:r w:rsidRPr="009F6A9D">
        <w:rPr>
          <w:rFonts w:cstheme="majorHAnsi"/>
          <w:color w:val="auto"/>
        </w:rPr>
        <w:t>4.2 Identifying staff and visitors at risk</w:t>
      </w:r>
    </w:p>
    <w:p w14:paraId="0B9045D8"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New staff are asked to provide relevant allergy information confidentially before or at the start of employment so that reasonable safety arrangements can be considered. Where food, animals or another foreseeable allergen may form part of a planned visit or activity, organisers will ask visitors for relevant information in advance where appropriate.</w:t>
      </w:r>
    </w:p>
    <w:p w14:paraId="38D42438" w14:textId="77777777" w:rsidR="003017AC" w:rsidRPr="009F6A9D" w:rsidRDefault="00106D40">
      <w:pPr>
        <w:pStyle w:val="Heading2"/>
        <w:rPr>
          <w:rFonts w:cstheme="majorHAnsi"/>
          <w:color w:val="auto"/>
        </w:rPr>
      </w:pPr>
      <w:r w:rsidRPr="009F6A9D">
        <w:rPr>
          <w:rFonts w:cstheme="majorHAnsi"/>
          <w:color w:val="auto"/>
        </w:rPr>
        <w:t>4.3 Individual healthcare plans (IHPs)</w:t>
      </w:r>
    </w:p>
    <w:p w14:paraId="3D7E4D63"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An Individual Healthcare Plan (IHP) will be developed where a pupil’s allergy significantly affects participation in school activities, where the pupil requires specific arrangements beyond normal school procedures, where they have prescribed emergency medication, or where they are at risk of anaphylaxis. A formal diagnosis is not essential where a healthcare professional considers it appropriate to manage the pupil’s symptoms and risk.</w:t>
      </w:r>
    </w:p>
    <w:p w14:paraId="316BAF06"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IHP sets out the individual arrangements required to support the pupil and includes, as appropriate, known allergens, symptoms and triggers, emergency procedures, medication requirements, roles and responsibilities, and any reasonable adjustments. The school will make every effort to put arrangements in place within two weeks of the need being identified, or by the beginning of the relevant term for new pupils. Not every allergy requires an IHP; some can be managed safely through the school’s usual medi</w:t>
      </w:r>
      <w:r w:rsidRPr="009F6A9D">
        <w:rPr>
          <w:rFonts w:asciiTheme="majorHAnsi" w:hAnsiTheme="majorHAnsi" w:cstheme="majorHAnsi"/>
        </w:rPr>
        <w:t>cal-condition arrangements.</w:t>
      </w:r>
    </w:p>
    <w:p w14:paraId="0B264DC7"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IHPs are reviewed at least annually and sooner where needs change. When a pupil moves to another school or college, relevant information and the IHP are shared as part of transition arrangements.</w:t>
      </w:r>
    </w:p>
    <w:p w14:paraId="5782818A" w14:textId="6BA786F7" w:rsidR="003017AC" w:rsidRPr="009F6A9D" w:rsidRDefault="00106D40">
      <w:pPr>
        <w:pStyle w:val="BodyText"/>
        <w:rPr>
          <w:rFonts w:asciiTheme="majorHAnsi" w:hAnsiTheme="majorHAnsi" w:cstheme="majorHAnsi"/>
        </w:rPr>
      </w:pPr>
      <w:r w:rsidRPr="00916EB9">
        <w:rPr>
          <w:rFonts w:asciiTheme="majorHAnsi" w:hAnsiTheme="majorHAnsi" w:cstheme="majorHAnsi"/>
        </w:rPr>
        <w:t>Individual Healthcare Plans (IHPs) are held by / location: [</w:t>
      </w:r>
      <w:r w:rsidR="00916EB9" w:rsidRPr="00916EB9">
        <w:rPr>
          <w:rFonts w:asciiTheme="majorHAnsi" w:hAnsiTheme="majorHAnsi" w:cstheme="majorHAnsi"/>
        </w:rPr>
        <w:t>Verity Ellis/School Office</w:t>
      </w:r>
      <w:r w:rsidRPr="00916EB9">
        <w:rPr>
          <w:rFonts w:asciiTheme="majorHAnsi" w:hAnsiTheme="majorHAnsi" w:cstheme="majorHAnsi"/>
        </w:rPr>
        <w:t>].</w:t>
      </w:r>
    </w:p>
    <w:p w14:paraId="44B07874" w14:textId="77777777" w:rsidR="003017AC" w:rsidRPr="009F6A9D" w:rsidRDefault="00106D40">
      <w:pPr>
        <w:pStyle w:val="Heading2"/>
        <w:rPr>
          <w:rFonts w:cstheme="majorHAnsi"/>
          <w:color w:val="auto"/>
        </w:rPr>
      </w:pPr>
      <w:r w:rsidRPr="009F6A9D">
        <w:rPr>
          <w:rFonts w:cstheme="majorHAnsi"/>
          <w:color w:val="auto"/>
        </w:rPr>
        <w:t>4.4 Allergy and asthma action plans</w:t>
      </w:r>
    </w:p>
    <w:p w14:paraId="4109D481"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Pupils with a known food or insect-sting allergy should have an appropriate allergy action plan issued by a healthcare professional. Pupils with asthma should have an asthma action plan. These plans include relevant medical and parental consent and instructions for emergency treatment. The action plan is attached to, or held with, the pupil’s IHP and medication. An updated action plan triggers a review of the school’s arrangements for that pupil.</w:t>
      </w:r>
    </w:p>
    <w:p w14:paraId="312A34F4" w14:textId="77777777" w:rsidR="003017AC" w:rsidRPr="009F6A9D" w:rsidRDefault="00106D40">
      <w:pPr>
        <w:pStyle w:val="Heading2"/>
        <w:rPr>
          <w:rFonts w:cstheme="majorHAnsi"/>
          <w:color w:val="auto"/>
        </w:rPr>
      </w:pPr>
      <w:r w:rsidRPr="009F6A9D">
        <w:rPr>
          <w:rFonts w:cstheme="majorHAnsi"/>
          <w:color w:val="auto"/>
        </w:rPr>
        <w:t>4.5 Register of pupils with known allergies</w:t>
      </w:r>
    </w:p>
    <w:p w14:paraId="3B3E312F"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school maintains a current register of pupils with known allergies. It includes, as appropriate:</w:t>
      </w:r>
    </w:p>
    <w:p w14:paraId="5BF1A8EC"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known allergens and triggers;</w:t>
      </w:r>
    </w:p>
    <w:p w14:paraId="60EA3F32" w14:textId="77777777" w:rsidR="003017AC" w:rsidRPr="009F6A9D" w:rsidRDefault="00106D40">
      <w:pPr>
        <w:pStyle w:val="PolicyBullet"/>
        <w:rPr>
          <w:rFonts w:asciiTheme="majorHAnsi" w:hAnsiTheme="majorHAnsi" w:cstheme="majorHAnsi"/>
        </w:rPr>
      </w:pPr>
      <w:r w:rsidRPr="009F6A9D">
        <w:rPr>
          <w:rFonts w:asciiTheme="majorHAnsi" w:hAnsiTheme="majorHAnsi" w:cstheme="majorHAnsi"/>
        </w:rPr>
        <w:t>• severity of allergy and risk of anaphylaxis;</w:t>
      </w:r>
    </w:p>
    <w:p w14:paraId="15875CB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whether the pupil has been prescribed an adrenaline device and the type/dose where relevant;</w:t>
      </w:r>
    </w:p>
    <w:p w14:paraId="04FCECD8" w14:textId="77777777" w:rsidR="003017AC" w:rsidRPr="009F6A9D" w:rsidRDefault="00106D40">
      <w:pPr>
        <w:pStyle w:val="PolicyBullet"/>
        <w:rPr>
          <w:rFonts w:asciiTheme="majorHAnsi" w:hAnsiTheme="majorHAnsi" w:cstheme="majorHAnsi"/>
        </w:rPr>
      </w:pPr>
      <w:r w:rsidRPr="009F6A9D">
        <w:rPr>
          <w:rFonts w:asciiTheme="majorHAnsi" w:hAnsiTheme="majorHAnsi" w:cstheme="majorHAnsi"/>
        </w:rPr>
        <w:t>• the location of prescribed emergency medication;</w:t>
      </w:r>
    </w:p>
    <w:p w14:paraId="7616C074"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relevant consent information for emergency medication;</w:t>
      </w:r>
    </w:p>
    <w:p w14:paraId="61E225DD"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lastRenderedPageBreak/>
        <w:t>• a photograph where this is necessary to support rapid and accurate identification and appropriate consent has been obtained.</w:t>
      </w:r>
    </w:p>
    <w:p w14:paraId="3BD375B6" w14:textId="77777777" w:rsidR="003017AC" w:rsidRPr="009F6A9D" w:rsidRDefault="00106D40">
      <w:pPr>
        <w:pStyle w:val="PolicyBullet"/>
        <w:rPr>
          <w:rFonts w:asciiTheme="majorHAnsi" w:hAnsiTheme="majorHAnsi" w:cstheme="majorHAnsi"/>
        </w:rPr>
      </w:pPr>
      <w:r w:rsidRPr="009F6A9D">
        <w:rPr>
          <w:rFonts w:asciiTheme="majorHAnsi" w:hAnsiTheme="majorHAnsi" w:cstheme="majorHAnsi"/>
        </w:rPr>
        <w:t>• details of any Individual Healthcare Plan (IHP);</w:t>
      </w:r>
    </w:p>
    <w:p w14:paraId="3A57AC92" w14:textId="77777777" w:rsidR="003017AC" w:rsidRPr="009F6A9D" w:rsidRDefault="00106D40">
      <w:pPr>
        <w:pStyle w:val="PolicyBullet"/>
        <w:rPr>
          <w:rFonts w:asciiTheme="majorHAnsi" w:hAnsiTheme="majorHAnsi" w:cstheme="majorHAnsi"/>
        </w:rPr>
      </w:pPr>
      <w:r w:rsidRPr="009F6A9D">
        <w:rPr>
          <w:rFonts w:asciiTheme="majorHAnsi" w:hAnsiTheme="majorHAnsi" w:cstheme="majorHAnsi"/>
        </w:rPr>
        <w:t>• current emergency contact information.</w:t>
      </w:r>
    </w:p>
    <w:p w14:paraId="508434A1"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register and associated emergency information are stored securely and are accessible to staff who need the information to keep pupils safe. Relevant allergy information is available to staff in areas where food may be served or handled, including catering and other relevant activity areas, but is not displayed publicly. Relevant catering, wraparound and activity staff can access the information they need. A need to check a register must never delay emergency treatment.</w:t>
      </w:r>
    </w:p>
    <w:p w14:paraId="7AE3EB49" w14:textId="77777777" w:rsidR="003017AC" w:rsidRPr="009F6A9D" w:rsidRDefault="00106D40">
      <w:pPr>
        <w:pStyle w:val="Heading1"/>
        <w:rPr>
          <w:rFonts w:cstheme="majorHAnsi"/>
          <w:color w:val="auto"/>
        </w:rPr>
      </w:pPr>
      <w:r w:rsidRPr="009F6A9D">
        <w:rPr>
          <w:rFonts w:cstheme="majorHAnsi"/>
          <w:color w:val="auto"/>
        </w:rPr>
        <w:t>5. Assessing risk</w:t>
      </w:r>
    </w:p>
    <w:p w14:paraId="14C657D1"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 pupil-specific allergy risk assessment will be completed where the nature of an activity creates a foreseeable risk of exposure or a delay in emergency treatment. This includes, where relevant:</w:t>
      </w:r>
    </w:p>
    <w:p w14:paraId="1823AFFD"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food preparation, cooking or tasting activities;</w:t>
      </w:r>
    </w:p>
    <w:p w14:paraId="2C234631"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science activities involving food or known allergens;</w:t>
      </w:r>
    </w:p>
    <w:p w14:paraId="60489200"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craft activities using food products, packaging or materials containing allergens;</w:t>
      </w:r>
    </w:p>
    <w:p w14:paraId="5B15FFC9" w14:textId="77777777" w:rsidR="003017AC" w:rsidRPr="009F6A9D" w:rsidRDefault="00106D40">
      <w:pPr>
        <w:pStyle w:val="PolicyBullet"/>
        <w:rPr>
          <w:rFonts w:asciiTheme="majorHAnsi" w:hAnsiTheme="majorHAnsi" w:cstheme="majorHAnsi"/>
        </w:rPr>
      </w:pPr>
      <w:r w:rsidRPr="009F6A9D">
        <w:rPr>
          <w:rFonts w:asciiTheme="majorHAnsi" w:hAnsiTheme="majorHAnsi" w:cstheme="majorHAnsi"/>
        </w:rPr>
        <w:t>• music activities where instruments, materials or cleaning products may present a known allergen risk;</w:t>
      </w:r>
    </w:p>
    <w:p w14:paraId="7602B08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off-site events, educational visits, residentials and school trips;</w:t>
      </w:r>
    </w:p>
    <w:p w14:paraId="603B74E6"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animal visits or animal-handling experiences;</w:t>
      </w:r>
    </w:p>
    <w:p w14:paraId="64008294"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celebrations, fundraising events, food hubs, breakfast/after-school clubs or other activities involving food;</w:t>
      </w:r>
    </w:p>
    <w:p w14:paraId="029E5E9B"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any situation involving a guide or assistance dog where a pupil has a relevant animal allergy.</w:t>
      </w:r>
    </w:p>
    <w:p w14:paraId="10A016EF"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Risk assessments consider the pupil’s known allergens, severity and history, the activity, environment, supervision, food/ingredient controls, emergency medication, staff competence, access to emergency services and arrangements for preventing cross-contamination.</w:t>
      </w:r>
    </w:p>
    <w:p w14:paraId="689C9243" w14:textId="77777777" w:rsidR="003017AC" w:rsidRPr="009F6A9D" w:rsidRDefault="00106D40">
      <w:pPr>
        <w:pStyle w:val="Heading1"/>
        <w:rPr>
          <w:rFonts w:cstheme="majorHAnsi"/>
          <w:color w:val="auto"/>
        </w:rPr>
      </w:pPr>
      <w:r w:rsidRPr="009F6A9D">
        <w:rPr>
          <w:rFonts w:cstheme="majorHAnsi"/>
          <w:color w:val="auto"/>
        </w:rPr>
        <w:t>6. Minimising risk</w:t>
      </w:r>
    </w:p>
    <w:p w14:paraId="59A3F11A" w14:textId="77777777" w:rsidR="003017AC" w:rsidRPr="009F6A9D" w:rsidRDefault="00106D40">
      <w:pPr>
        <w:pStyle w:val="Heading2"/>
        <w:rPr>
          <w:rFonts w:cstheme="majorHAnsi"/>
          <w:color w:val="auto"/>
        </w:rPr>
      </w:pPr>
      <w:r w:rsidRPr="009F6A9D">
        <w:rPr>
          <w:rFonts w:cstheme="majorHAnsi"/>
          <w:color w:val="auto"/>
        </w:rPr>
        <w:t>6.1 Hygiene and general controls</w:t>
      </w:r>
    </w:p>
    <w:p w14:paraId="01654758"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Pupils are reminded to wash their hands before and after eating and after activities involving possible allergens.</w:t>
      </w:r>
    </w:p>
    <w:p w14:paraId="256EA6BB"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Pupils do not share food, drinks, food containers, water bottles or eating utensils.</w:t>
      </w:r>
    </w:p>
    <w:p w14:paraId="20FF0A6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Named water bottles and lunchboxes are used, and allergy-safe meals/containers are clearly identifiable for the intended pupil.</w:t>
      </w:r>
    </w:p>
    <w:p w14:paraId="733F1F24"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Surfaces, equipment and utensils are cleaned appropriately before and after food preparation and eating.</w:t>
      </w:r>
    </w:p>
    <w:p w14:paraId="579AAB17"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Food used in lessons, celebrations or activities is planned in advance so that allergen information can be checked and individual risk assessments followed.</w:t>
      </w:r>
    </w:p>
    <w:p w14:paraId="63A26F17"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Where food is provided by a third party or brought into school for an authorised activity, reliable ingredient and allergen information must be available.</w:t>
      </w:r>
    </w:p>
    <w:p w14:paraId="698CA81C" w14:textId="77777777" w:rsidR="003017AC" w:rsidRPr="009F6A9D" w:rsidRDefault="00106D40">
      <w:pPr>
        <w:pStyle w:val="PolicyBullet"/>
        <w:rPr>
          <w:rFonts w:asciiTheme="majorHAnsi" w:hAnsiTheme="majorHAnsi" w:cstheme="majorHAnsi"/>
        </w:rPr>
      </w:pPr>
      <w:r w:rsidRPr="009F6A9D">
        <w:rPr>
          <w:rFonts w:asciiTheme="majorHAnsi" w:hAnsiTheme="majorHAnsi" w:cstheme="majorHAnsi"/>
        </w:rPr>
        <w:t>• Environmental, contact and airborne allergens are considered where known, and reasonable control measures are implemented according to the individual pupil’s circumstances and risk assessment.</w:t>
      </w:r>
    </w:p>
    <w:p w14:paraId="541A2372" w14:textId="77777777" w:rsidR="003017AC" w:rsidRPr="009F6A9D" w:rsidRDefault="00106D40">
      <w:pPr>
        <w:pStyle w:val="Heading2"/>
        <w:rPr>
          <w:rFonts w:cstheme="majorHAnsi"/>
          <w:color w:val="auto"/>
        </w:rPr>
      </w:pPr>
      <w:r w:rsidRPr="009F6A9D">
        <w:rPr>
          <w:rFonts w:cstheme="majorHAnsi"/>
          <w:color w:val="auto"/>
        </w:rPr>
        <w:t>6.2 Catering</w:t>
      </w:r>
    </w:p>
    <w:p w14:paraId="09CEAE20"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school is committed to providing safe food options that meet the dietary needs of pupils with allergies. The school works with its catering provider to understand and monitor controls for allergen management and cross-contamination.</w:t>
      </w:r>
    </w:p>
    <w:p w14:paraId="58FAAFB4"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Relevant catering staff receive appropriate allergy and food-allergen training and can identify pupils requiring allergy-safe meals.</w:t>
      </w:r>
    </w:p>
    <w:p w14:paraId="2433816E"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lastRenderedPageBreak/>
        <w:t>• Menus and ingredient/allergen information are made available to parents/carers and pupils, and catering staff are available to discuss provision where needed.</w:t>
      </w:r>
    </w:p>
    <w:p w14:paraId="66F92828"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Changes to menus or ingredients are checked so that legal allergen requirements and individual dietary needs continue to be met.</w:t>
      </w:r>
    </w:p>
    <w:p w14:paraId="7F868681"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Food allergen information for the 14 regulated allergens is provided and labelled in accordance with applicable Food Standards Agency requirements.</w:t>
      </w:r>
    </w:p>
    <w:p w14:paraId="66E30C5B"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Staff involved in food provision know how to read ingredient and allergen labels.</w:t>
      </w:r>
    </w:p>
    <w:p w14:paraId="2F5DE4E3"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Catering staff follow hygiene and allergy procedures designed to reduce cross-contamination.</w:t>
      </w:r>
    </w:p>
    <w:p w14:paraId="4022AC8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Where an individual pupil requires additional controls, these are recorded in the pupil’s IHP/risk assessment and communicated clearly to catering and supervising staff.</w:t>
      </w:r>
    </w:p>
    <w:p w14:paraId="0D41D5F8" w14:textId="77777777" w:rsidR="003017AC" w:rsidRPr="009F6A9D" w:rsidRDefault="00106D40">
      <w:pPr>
        <w:pStyle w:val="Heading2"/>
        <w:rPr>
          <w:rFonts w:cstheme="majorHAnsi"/>
          <w:color w:val="auto"/>
        </w:rPr>
      </w:pPr>
      <w:r w:rsidRPr="009F6A9D">
        <w:rPr>
          <w:rFonts w:cstheme="majorHAnsi"/>
          <w:color w:val="auto"/>
        </w:rPr>
        <w:t>6.3 Insect bites and stings</w:t>
      </w:r>
    </w:p>
    <w:p w14:paraId="31BA4889"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Where a pupil has a known insect-sting allergy, their IHP and risk assessment identify appropriate precautions. When outdoors, staff reduce avoidable exposure by encouraging suitable footwear and ensuring food and drink are covered where practical. Emergency medication remains rapidly accessible.</w:t>
      </w:r>
    </w:p>
    <w:p w14:paraId="527D8782" w14:textId="77777777" w:rsidR="003017AC" w:rsidRPr="009F6A9D" w:rsidRDefault="00106D40">
      <w:pPr>
        <w:pStyle w:val="Heading2"/>
        <w:rPr>
          <w:rFonts w:cstheme="majorHAnsi"/>
          <w:color w:val="auto"/>
        </w:rPr>
      </w:pPr>
      <w:r w:rsidRPr="009F6A9D">
        <w:rPr>
          <w:rFonts w:cstheme="majorHAnsi"/>
          <w:color w:val="auto"/>
        </w:rPr>
        <w:t>6.4 Animals</w:t>
      </w:r>
    </w:p>
    <w:p w14:paraId="34C47AF7"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Activities involving animals are planned with known allergies in mind. Pupils wash their hands after animal contact. Pupils with a known animal allergy will not be required to interact directly with an animal where this would create a risk, and reasonable alternative participation is provided.</w:t>
      </w:r>
    </w:p>
    <w:p w14:paraId="70AE2F6B" w14:textId="77777777" w:rsidR="003017AC" w:rsidRPr="009F6A9D" w:rsidRDefault="00106D40">
      <w:pPr>
        <w:pStyle w:val="Heading2"/>
        <w:rPr>
          <w:rFonts w:cstheme="majorHAnsi"/>
          <w:color w:val="auto"/>
        </w:rPr>
      </w:pPr>
      <w:r w:rsidRPr="009F6A9D">
        <w:rPr>
          <w:rFonts w:cstheme="majorHAnsi"/>
          <w:color w:val="auto"/>
        </w:rPr>
        <w:t>6.5 Visits and trips</w:t>
      </w:r>
    </w:p>
    <w:p w14:paraId="655E05F8"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 pupil will not be excluded from a visit or trip solely because of an allergy. The school plans reasonable adjustments and risk controls so that pupils can participate safely.</w:t>
      </w:r>
    </w:p>
    <w:p w14:paraId="6317DCB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staff leading the activity know the pupil’s allergies and emergency arrangements;</w:t>
      </w:r>
    </w:p>
    <w:p w14:paraId="257B990C"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a pupil-specific risk assessment is completed where there is a risk of anaphylaxis;</w:t>
      </w:r>
    </w:p>
    <w:p w14:paraId="11AB342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prescribed adrenaline devices travel with the pupil and remain rapidly accessible;</w:t>
      </w:r>
    </w:p>
    <w:p w14:paraId="6FFCB15A"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at least one member of staff able to respond to anaphylaxis and administer adrenaline is present;</w:t>
      </w:r>
    </w:p>
    <w:p w14:paraId="4C2CCD32"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where appropriate, the school’s spare AAI is taken off site in accordance with section 8.5;</w:t>
      </w:r>
    </w:p>
    <w:p w14:paraId="6DC8C89C"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food, accommodation, transport, activities and access to emergency services are considered in advance.</w:t>
      </w:r>
    </w:p>
    <w:p w14:paraId="4AC4F385" w14:textId="77777777" w:rsidR="003017AC" w:rsidRPr="009F6A9D" w:rsidRDefault="00106D40">
      <w:pPr>
        <w:pStyle w:val="Heading1"/>
        <w:rPr>
          <w:rFonts w:cstheme="majorHAnsi"/>
          <w:color w:val="auto"/>
        </w:rPr>
      </w:pPr>
      <w:r w:rsidRPr="009F6A9D">
        <w:rPr>
          <w:rFonts w:cstheme="majorHAnsi"/>
          <w:color w:val="auto"/>
        </w:rPr>
        <w:t>7. Procedures for handling an allergic reaction</w:t>
      </w:r>
    </w:p>
    <w:p w14:paraId="00BF100F"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All staff expected to be present when pupils are on site receive training to recognise allergic reactions and anaphylaxis and to respond appropriately. Where a pupil has an allergy action plan, staff follow that plan.</w:t>
      </w:r>
    </w:p>
    <w:p w14:paraId="3CD7C1A7"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If anaphylaxis is suspected:</w:t>
      </w:r>
    </w:p>
    <w:p w14:paraId="3C2CF1F8"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act immediately and do not leave the pupil alone;</w:t>
      </w:r>
    </w:p>
    <w:p w14:paraId="234B9548"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administer the pupil’s prescribed adrenaline device without delay in accordance with their action plan and staff training;</w:t>
      </w:r>
    </w:p>
    <w:p w14:paraId="25AAAAFF"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call 999 and state that anaphylaxis is suspected;</w:t>
      </w:r>
    </w:p>
    <w:p w14:paraId="1F6EC930"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bring the pupil’s second prescribed device and the school’s spare AAI where available, so that further treatment can be given if required in accordance with the action plan or emergency-service advice;</w:t>
      </w:r>
    </w:p>
    <w:p w14:paraId="7828F407"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inform parents/carers as soon as possible without delaying emergency treatment;</w:t>
      </w:r>
    </w:p>
    <w:p w14:paraId="56269638"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ensure relevant plans, medication information and a member of staff accompany the pupil if they are transferred to hospital.</w:t>
      </w:r>
    </w:p>
    <w:p w14:paraId="215DCEEB"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lastRenderedPageBreak/>
        <w:t>A spare school AAI may be used if the pupil does not have a prescribed injectable device available, or if their prescribed device is unavailable or misfires, where use is appropriate in the emergency. Emergency treatment must never be delayed while searching for paperwork or checking routine consent records.</w:t>
      </w:r>
    </w:p>
    <w:p w14:paraId="26D7C86B" w14:textId="77777777" w:rsidR="003017AC" w:rsidRPr="009F6A9D" w:rsidRDefault="00106D40">
      <w:pPr>
        <w:pStyle w:val="Heading1"/>
        <w:rPr>
          <w:rFonts w:cstheme="majorHAnsi"/>
          <w:color w:val="auto"/>
        </w:rPr>
      </w:pPr>
      <w:r w:rsidRPr="009F6A9D">
        <w:rPr>
          <w:rFonts w:cstheme="majorHAnsi"/>
          <w:color w:val="auto"/>
        </w:rPr>
        <w:t>8. Adrenaline devices (ADs)</w:t>
      </w:r>
    </w:p>
    <w:p w14:paraId="3F306971"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“Adrenaline device” (AD) is used in this policy as a general term for prescribed adrenaline medication. Current arrangements allow schools to purchase spare adrenaline auto-injectors (AAIs). Non-injectable adrenaline devices, such as a prescribed nasal spray, may be prescribed to an individual but cannot currently be stocked by the school as a spare device. A school spare AAI may be used in an emergency for a person prescribed nasal adrenaline where appropriate.</w:t>
      </w:r>
    </w:p>
    <w:p w14:paraId="3F49F336" w14:textId="77777777" w:rsidR="003017AC" w:rsidRPr="009F6A9D" w:rsidRDefault="00106D40">
      <w:pPr>
        <w:pStyle w:val="Heading2"/>
        <w:rPr>
          <w:rFonts w:cstheme="majorHAnsi"/>
          <w:color w:val="auto"/>
        </w:rPr>
      </w:pPr>
      <w:r w:rsidRPr="009F6A9D">
        <w:rPr>
          <w:rFonts w:cstheme="majorHAnsi"/>
          <w:color w:val="auto"/>
        </w:rPr>
        <w:t>8.1 Prescribed ADs</w:t>
      </w:r>
    </w:p>
    <w:p w14:paraId="13042C52"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Pupils prescribed adrenaline are encouraged, where age and development make this appropriate, to keep their devices close to or on their person, including when travelling to or from school and on visits. Two prescribed devices should be available in accordance with the pupil’s medical advice and action plan.</w:t>
      </w:r>
    </w:p>
    <w:p w14:paraId="22250721"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Where a pupil is too young or it is otherwise inappropriate for them to carry their devices, the medication is kept in a clearly labelled emergency medication pack in an unlocked, accessible location known to staff and close enough to permit rapid access. The location of prescribed adrenaline is recorded in the pupil’s IHP. It is stored at room temperature, protected from direct sunlight and extremes of temperature in accordance with manufacturer guidance. A copy of the pupil’s allergy action plan is kept w</w:t>
      </w:r>
      <w:r w:rsidRPr="009F6A9D">
        <w:rPr>
          <w:rFonts w:asciiTheme="majorHAnsi" w:hAnsiTheme="majorHAnsi" w:cstheme="majorHAnsi"/>
        </w:rPr>
        <w:t>ith the medication.</w:t>
      </w:r>
    </w:p>
    <w:p w14:paraId="018F3F74"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school maintains appropriate records of prescribed emergency medication. Parents/carers remain responsible for ensuring individually prescribed medication is in date and replaced as necessary. The school also monitors expiry dates as part of its medical-medication checks and informs parents/carers when replacement medication is required.</w:t>
      </w:r>
    </w:p>
    <w:p w14:paraId="6F81FD09" w14:textId="77777777" w:rsidR="003017AC" w:rsidRPr="009F6A9D" w:rsidRDefault="00106D40">
      <w:pPr>
        <w:pStyle w:val="Heading2"/>
        <w:rPr>
          <w:rFonts w:cstheme="majorHAnsi"/>
          <w:color w:val="auto"/>
        </w:rPr>
      </w:pPr>
      <w:r w:rsidRPr="009F6A9D">
        <w:rPr>
          <w:rFonts w:cstheme="majorHAnsi"/>
          <w:color w:val="auto"/>
        </w:rPr>
        <w:t>8.2 Spare AAIs and emergency inhalers</w:t>
      </w:r>
    </w:p>
    <w:p w14:paraId="68D52F70"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Allergy Safety Lead is responsible for ensuring that the school has appropriate spare AAIs and, where the school chooses to hold one, an emergency asthma reliever inhaler, in accordance with current national guidance.</w:t>
      </w:r>
    </w:p>
    <w:p w14:paraId="5589DA17"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Spare AAIs are:</w:t>
      </w:r>
    </w:p>
    <w:p w14:paraId="24808E9B"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stored securely but not locked away, clearly labelled and immediately accessible to staff within five minutes in an emergency;</w:t>
      </w:r>
    </w:p>
    <w:p w14:paraId="72EB9983"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kept at room temperature, protected from direct sunlight and extremes of temperature;</w:t>
      </w:r>
    </w:p>
    <w:p w14:paraId="536D2230"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kept in pairs where possible, in case a second device is required;</w:t>
      </w:r>
    </w:p>
    <w:p w14:paraId="1CC55EFC"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kept separate from individual pupils’ prescribed medication to avoid confusion;</w:t>
      </w:r>
    </w:p>
    <w:p w14:paraId="5AD9B154"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checked at least monthly for presence, condition and expiry date;</w:t>
      </w:r>
    </w:p>
    <w:p w14:paraId="6C74BDCD" w14:textId="77777777" w:rsidR="003017AC" w:rsidRPr="009F6A9D" w:rsidRDefault="00106D40">
      <w:pPr>
        <w:pStyle w:val="PolicyBullet"/>
        <w:rPr>
          <w:rFonts w:asciiTheme="majorHAnsi" w:hAnsiTheme="majorHAnsi" w:cstheme="majorHAnsi"/>
        </w:rPr>
      </w:pPr>
      <w:r w:rsidRPr="009F6A9D">
        <w:rPr>
          <w:rFonts w:asciiTheme="majorHAnsi" w:hAnsiTheme="majorHAnsi" w:cstheme="majorHAnsi"/>
        </w:rPr>
        <w:t>• replaced promptly following use or before/at expiry;</w:t>
      </w:r>
    </w:p>
    <w:p w14:paraId="55A25CF4" w14:textId="77777777" w:rsidR="003017AC" w:rsidRPr="009F6A9D" w:rsidRDefault="00106D40">
      <w:pPr>
        <w:pStyle w:val="PolicyBullet"/>
        <w:rPr>
          <w:rFonts w:asciiTheme="majorHAnsi" w:hAnsiTheme="majorHAnsi" w:cstheme="majorHAnsi"/>
        </w:rPr>
      </w:pPr>
      <w:r w:rsidRPr="009F6A9D">
        <w:rPr>
          <w:rFonts w:asciiTheme="majorHAnsi" w:hAnsiTheme="majorHAnsi" w:cstheme="majorHAnsi"/>
        </w:rPr>
        <w:t>• stored in a location that is communicated clearly to all staff.</w:t>
      </w:r>
    </w:p>
    <w:p w14:paraId="50D4E3AB" w14:textId="2FB6395D" w:rsidR="003017AC" w:rsidRPr="009F6A9D" w:rsidRDefault="00106D40">
      <w:pPr>
        <w:pStyle w:val="BodyText"/>
        <w:keepLines/>
        <w:rPr>
          <w:rFonts w:asciiTheme="majorHAnsi" w:hAnsiTheme="majorHAnsi" w:cstheme="majorHAnsi"/>
        </w:rPr>
      </w:pPr>
      <w:r w:rsidRPr="00CF04CF">
        <w:rPr>
          <w:rFonts w:asciiTheme="majorHAnsi" w:hAnsiTheme="majorHAnsi" w:cstheme="majorHAnsi"/>
          <w:shd w:val="clear" w:color="auto" w:fill="FFF2CC"/>
        </w:rPr>
        <w:t xml:space="preserve">Agreed spare AAI storage location: </w:t>
      </w:r>
      <w:r w:rsidR="00CF04CF" w:rsidRPr="00CF04CF">
        <w:rPr>
          <w:rFonts w:asciiTheme="majorHAnsi" w:hAnsiTheme="majorHAnsi" w:cstheme="majorHAnsi"/>
          <w:shd w:val="clear" w:color="auto" w:fill="FFF2CC"/>
        </w:rPr>
        <w:t>School Office</w:t>
      </w:r>
      <w:r w:rsidRPr="00CF04CF">
        <w:rPr>
          <w:rFonts w:asciiTheme="majorHAnsi" w:hAnsiTheme="majorHAnsi" w:cstheme="majorHAnsi"/>
          <w:shd w:val="clear" w:color="auto" w:fill="FFF2CC"/>
        </w:rPr>
        <w:t>.</w:t>
      </w:r>
    </w:p>
    <w:p w14:paraId="122EE799" w14:textId="77777777" w:rsidR="003017AC" w:rsidRPr="009F6A9D" w:rsidRDefault="00106D40">
      <w:pPr>
        <w:pStyle w:val="Heading2"/>
        <w:rPr>
          <w:rFonts w:cstheme="majorHAnsi"/>
          <w:color w:val="auto"/>
        </w:rPr>
      </w:pPr>
      <w:r w:rsidRPr="009F6A9D">
        <w:rPr>
          <w:rFonts w:cstheme="majorHAnsi"/>
          <w:color w:val="auto"/>
        </w:rPr>
        <w:t>8.3 Disposal</w:t>
      </w:r>
    </w:p>
    <w:p w14:paraId="2C778F35"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An AAI can only be used once. Used devices are handled and disposed of in accordance with manufacturer instructions and the school’s clinical/sharps-waste arrangements.</w:t>
      </w:r>
    </w:p>
    <w:p w14:paraId="01BDA7B2" w14:textId="77777777" w:rsidR="003017AC" w:rsidRPr="009F6A9D" w:rsidRDefault="00106D40">
      <w:pPr>
        <w:pStyle w:val="Heading2"/>
        <w:rPr>
          <w:rFonts w:cstheme="majorHAnsi"/>
          <w:color w:val="auto"/>
        </w:rPr>
      </w:pPr>
      <w:r w:rsidRPr="009F6A9D">
        <w:rPr>
          <w:rFonts w:cstheme="majorHAnsi"/>
          <w:color w:val="auto"/>
        </w:rPr>
        <w:t>8.4 Use of spare AAIs in an emergency without prior consent</w:t>
      </w:r>
    </w:p>
    <w:p w14:paraId="63D6F70F"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Human Medicines (Amendment) Regulations 2017 do not require prior consent for a school spare adrenaline device to be used in an emergency. The school will seek advance consent where appropriate as part of individual planning. However, in an emergency, reasonable action may be taken to save a life without delaying treatment to check whether prior consent has been recorded.</w:t>
      </w:r>
    </w:p>
    <w:p w14:paraId="48D0D869" w14:textId="77777777" w:rsidR="003017AC" w:rsidRPr="009F6A9D" w:rsidRDefault="00106D40">
      <w:pPr>
        <w:pStyle w:val="Heading2"/>
        <w:rPr>
          <w:rFonts w:cstheme="majorHAnsi"/>
          <w:color w:val="auto"/>
        </w:rPr>
      </w:pPr>
      <w:r w:rsidRPr="009F6A9D">
        <w:rPr>
          <w:rFonts w:cstheme="majorHAnsi"/>
          <w:color w:val="auto"/>
        </w:rPr>
        <w:lastRenderedPageBreak/>
        <w:t>8.5 Use of ADs off school premises</w:t>
      </w:r>
    </w:p>
    <w:p w14:paraId="0F0B1C73"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Pupils at risk of anaphylaxis who are able to manage their own medication should carry their prescribed ADs on school trips and off-site activities. For younger pupils, a named member of staff is responsible for ensuring the devices and action plan travel with the pupil and remain rapidly accessible. Where risk assessment indicates it is appropriate, the school’s spare AAIs are also taken off site in a clearly labelled emergency pack.</w:t>
      </w:r>
    </w:p>
    <w:p w14:paraId="384F1542" w14:textId="77777777" w:rsidR="003017AC" w:rsidRPr="009F6A9D" w:rsidRDefault="00106D40">
      <w:pPr>
        <w:pStyle w:val="Heading1"/>
        <w:rPr>
          <w:rFonts w:cstheme="majorHAnsi"/>
          <w:color w:val="auto"/>
        </w:rPr>
      </w:pPr>
      <w:r w:rsidRPr="009F6A9D">
        <w:rPr>
          <w:rFonts w:cstheme="majorHAnsi"/>
          <w:color w:val="auto"/>
        </w:rPr>
        <w:t>9. Serious incidents and “near misses”</w:t>
      </w:r>
    </w:p>
    <w:p w14:paraId="4CEF68A1"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 serious incident is an event relating directly to a medical condition, including allergy, in which a pupil, staff member or visitor is harmed or placed at immediate and significant risk of harm. This includes events requiring emergency medication, urgent clinical intervention or attendance by emergency services.</w:t>
      </w:r>
    </w:p>
    <w:p w14:paraId="178DD8A9"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 “near miss” is an event which did not result in harm but had the clear potential to do so - for example an error, omission, incorrect food item, cross-contamination risk, missing medication or system failure which could reasonably have led to a serious incident.</w:t>
      </w:r>
    </w:p>
    <w:p w14:paraId="37BD7BA6" w14:textId="77777777" w:rsidR="003017AC" w:rsidRPr="009F6A9D" w:rsidRDefault="00106D40">
      <w:pPr>
        <w:pStyle w:val="Heading2"/>
        <w:rPr>
          <w:rFonts w:cstheme="majorHAnsi"/>
          <w:color w:val="auto"/>
        </w:rPr>
      </w:pPr>
      <w:r w:rsidRPr="009F6A9D">
        <w:rPr>
          <w:rFonts w:cstheme="majorHAnsi"/>
          <w:color w:val="auto"/>
        </w:rPr>
        <w:t>9.1 Incident recording</w:t>
      </w:r>
    </w:p>
    <w:p w14:paraId="7B3D683E"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Serious incidents and near misses are recorded as soon as practicable. The record includes:</w:t>
      </w:r>
    </w:p>
    <w:p w14:paraId="7DD503A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who was affected;</w:t>
      </w:r>
    </w:p>
    <w:p w14:paraId="6FFA7562"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what happened, when and where;</w:t>
      </w:r>
    </w:p>
    <w:p w14:paraId="76762EB4"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why the incident occurred, as far as this is known;</w:t>
      </w:r>
    </w:p>
    <w:p w14:paraId="2EEAA435"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how staff and pupils responded and what was done to support the individual;</w:t>
      </w:r>
    </w:p>
    <w:p w14:paraId="7AAA3F9F"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whether emergency services were called;</w:t>
      </w:r>
    </w:p>
    <w:p w14:paraId="7057A3B4"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how the incident concluded;</w:t>
      </w:r>
    </w:p>
    <w:p w14:paraId="6D3034C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immediate actions taken to prevent recurrence.</w:t>
      </w:r>
    </w:p>
    <w:p w14:paraId="6D6601B9"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school approaches incident review in a no-blame spirit focused on learning, while still addressing any unsafe practice appropriately.</w:t>
      </w:r>
    </w:p>
    <w:p w14:paraId="7D5CF609" w14:textId="77777777" w:rsidR="003017AC" w:rsidRPr="009F6A9D" w:rsidRDefault="00106D40">
      <w:pPr>
        <w:pStyle w:val="Heading2"/>
        <w:rPr>
          <w:rFonts w:cstheme="majorHAnsi"/>
          <w:color w:val="auto"/>
        </w:rPr>
      </w:pPr>
      <w:r w:rsidRPr="009F6A9D">
        <w:rPr>
          <w:rFonts w:cstheme="majorHAnsi"/>
          <w:color w:val="auto"/>
        </w:rPr>
        <w:t>9.2 Incident reporting and learning</w:t>
      </w:r>
    </w:p>
    <w:p w14:paraId="7257C3C2"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Parents/carers of a pupil are informed of a serious incident or near miss as soon as possible. They are given an opportunity to discuss what happened and contribute to the review. The school then communicates relevant learning and the actions being taken.</w:t>
      </w:r>
    </w:p>
    <w:p w14:paraId="2BFDD97F"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Where an allergic reaction becomes apparent only after the pupil has left school, parents/carers, healthcare professionals or others are encouraged to report this promptly so the incident can be reviewed.</w:t>
      </w:r>
    </w:p>
    <w:p w14:paraId="448DA5E4"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Allergy Safety Lead reviews whether existing arrangements were appropriate and whether changes are required to this policy, a pupil’s IHP/action plan, catering controls, training, supervision or risk assessments. Relevant learning is shared with staff.</w:t>
      </w:r>
    </w:p>
    <w:p w14:paraId="092203FB"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Where reporting thresholds are met, the school will make any required report to the Health and Safety Executive under RIDDOR and, where relevant to food-safety responsibilities, to the appropriate local authority or food-safety body. Where the incident concerns implementation of a healthcare plan, the relevant healthcare professional is informed where appropriate.</w:t>
      </w:r>
    </w:p>
    <w:p w14:paraId="78FF7A17" w14:textId="77777777" w:rsidR="003017AC" w:rsidRPr="009F6A9D" w:rsidRDefault="00106D40">
      <w:pPr>
        <w:pStyle w:val="Heading1"/>
        <w:rPr>
          <w:rFonts w:cstheme="majorHAnsi"/>
          <w:color w:val="auto"/>
        </w:rPr>
      </w:pPr>
      <w:r w:rsidRPr="009F6A9D">
        <w:rPr>
          <w:rFonts w:cstheme="majorHAnsi"/>
          <w:color w:val="auto"/>
        </w:rPr>
        <w:lastRenderedPageBreak/>
        <w:t>10. Allergy awareness</w:t>
      </w:r>
    </w:p>
    <w:p w14:paraId="7BFBB040" w14:textId="77777777" w:rsidR="003017AC" w:rsidRPr="009F6A9D" w:rsidRDefault="00106D40">
      <w:pPr>
        <w:pStyle w:val="Heading2"/>
        <w:rPr>
          <w:rFonts w:cstheme="majorHAnsi"/>
          <w:color w:val="auto"/>
        </w:rPr>
      </w:pPr>
      <w:r w:rsidRPr="009F6A9D">
        <w:rPr>
          <w:rFonts w:cstheme="majorHAnsi"/>
          <w:color w:val="auto"/>
        </w:rPr>
        <w:t>10.1 Staff training</w:t>
      </w:r>
    </w:p>
    <w:p w14:paraId="01A576AC"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All staff expected to be present during times when pupils are scheduled to be on site receive allergy-awareness training at least annually. New starters complete this as part of induction. This includes permanent and temporary staff, supply teachers, peripatetic staff, agency workers, regular volunteers, catering staff and staff supervising breakfast, after-school or holiday provision where applicable.</w:t>
      </w:r>
    </w:p>
    <w:p w14:paraId="43C65BDB"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Training includes practical familiarisation with adrenaline auto-injector trainer devices and ensures staff:</w:t>
      </w:r>
    </w:p>
    <w:p w14:paraId="2BBEC351"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understand allergy, how reactions can occur and the risks allergy can pose;</w:t>
      </w:r>
    </w:p>
    <w:p w14:paraId="5057C8CD"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understand that allergic disease includes conditions such as food allergy, asthma, eczema and hay fever, which may co-exist;</w:t>
      </w:r>
    </w:p>
    <w:p w14:paraId="52BF3A2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understand the difference between food allergy, coeliac disease and food intolerance;</w:t>
      </w:r>
    </w:p>
    <w:p w14:paraId="0D2720FF"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know where to find information about individual triggers and emergency plans;</w:t>
      </w:r>
    </w:p>
    <w:p w14:paraId="312991E8"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can recognise a range of allergic-reaction symptoms and anaphylaxis;</w:t>
      </w:r>
    </w:p>
    <w:p w14:paraId="22CF3EC2"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know how to call emergency services, locate emergency medication and administer an AAI in accordance with training;</w:t>
      </w:r>
    </w:p>
    <w:p w14:paraId="03A76B47"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understand the potential impact of allergy on a pupil’s wellbeing and inclusion;</w:t>
      </w:r>
    </w:p>
    <w:p w14:paraId="48CB2B41"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know how to use the allergy register and individual action plans;</w:t>
      </w:r>
    </w:p>
    <w:p w14:paraId="354739C0"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understand their responsibilities for reducing exposure and reporting incidents and near misses.</w:t>
      </w:r>
    </w:p>
    <w:p w14:paraId="087F4C20"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school carries out an allergy/anaphylaxis emergency drill at least annually. The drill tests communication, access to medication and staff response without placing any individual at risk. Learning is recorded and used to improve arrangements.</w:t>
      </w:r>
    </w:p>
    <w:p w14:paraId="16982525" w14:textId="77777777" w:rsidR="003017AC" w:rsidRPr="009F6A9D" w:rsidRDefault="00106D40">
      <w:pPr>
        <w:pStyle w:val="Heading2"/>
        <w:rPr>
          <w:rFonts w:cstheme="majorHAnsi"/>
          <w:color w:val="auto"/>
        </w:rPr>
      </w:pPr>
      <w:r w:rsidRPr="009F6A9D">
        <w:rPr>
          <w:rFonts w:cstheme="majorHAnsi"/>
          <w:color w:val="auto"/>
        </w:rPr>
        <w:t>10.2 Training records</w:t>
      </w:r>
    </w:p>
    <w:p w14:paraId="65D5B4C9" w14:textId="77777777" w:rsidR="003017AC" w:rsidRPr="009F6A9D" w:rsidRDefault="00106D40">
      <w:pPr>
        <w:pStyle w:val="BodyText"/>
        <w:rPr>
          <w:rFonts w:asciiTheme="majorHAnsi" w:hAnsiTheme="majorHAnsi" w:cstheme="majorHAnsi"/>
        </w:rPr>
      </w:pPr>
      <w:r w:rsidRPr="009F6A9D">
        <w:rPr>
          <w:rFonts w:asciiTheme="majorHAnsi" w:hAnsiTheme="majorHAnsi" w:cstheme="majorHAnsi"/>
        </w:rPr>
        <w:t>The Allergy Safety Lead maintains an up-to-date record of allergy-awareness and emergency-response training. Records include the date of training, the training provider, the staff members who attended and the date any refresher training is due. Training compliance is reviewed at least annually and records are retained so that they are available for monitoring, audit and inspection purposes.</w:t>
      </w:r>
    </w:p>
    <w:p w14:paraId="528573A3" w14:textId="1F871776" w:rsidR="003017AC" w:rsidRPr="009F6A9D" w:rsidRDefault="00106D40">
      <w:pPr>
        <w:pStyle w:val="BodyText"/>
        <w:rPr>
          <w:rFonts w:asciiTheme="majorHAnsi" w:hAnsiTheme="majorHAnsi" w:cstheme="majorHAnsi"/>
        </w:rPr>
      </w:pPr>
      <w:r w:rsidRPr="002A5EA3">
        <w:rPr>
          <w:rFonts w:asciiTheme="majorHAnsi" w:hAnsiTheme="majorHAnsi" w:cstheme="majorHAnsi"/>
        </w:rPr>
        <w:t xml:space="preserve">Training records are held by / location: </w:t>
      </w:r>
      <w:r w:rsidR="00C07C46" w:rsidRPr="002A5EA3">
        <w:rPr>
          <w:rFonts w:asciiTheme="majorHAnsi" w:hAnsiTheme="majorHAnsi" w:cstheme="majorHAnsi"/>
        </w:rPr>
        <w:t>Verity Ellis / School Office</w:t>
      </w:r>
      <w:r w:rsidRPr="002A5EA3">
        <w:rPr>
          <w:rFonts w:asciiTheme="majorHAnsi" w:hAnsiTheme="majorHAnsi" w:cstheme="majorHAnsi"/>
        </w:rPr>
        <w:t>.</w:t>
      </w:r>
    </w:p>
    <w:p w14:paraId="64B20E47" w14:textId="77777777" w:rsidR="003017AC" w:rsidRPr="009F6A9D" w:rsidRDefault="00106D40">
      <w:pPr>
        <w:pStyle w:val="Heading2"/>
        <w:rPr>
          <w:rFonts w:cstheme="majorHAnsi"/>
          <w:color w:val="auto"/>
        </w:rPr>
      </w:pPr>
      <w:r w:rsidRPr="009F6A9D">
        <w:rPr>
          <w:rFonts w:cstheme="majorHAnsi"/>
          <w:color w:val="auto"/>
        </w:rPr>
        <w:t>10.3 Awareness of this policy</w:t>
      </w:r>
    </w:p>
    <w:p w14:paraId="1DDAA05F"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This policy is published on the school website, is available on request from the school office and is made available to parents/carers. Staff are expected to understand it as part of annual training and induction. Allergy awareness is reinforced with pupils in age-appropriate ways, including the importance of not sharing food and of seeking adult help quickly if a peer becomes unwell.</w:t>
      </w:r>
    </w:p>
    <w:p w14:paraId="67472989" w14:textId="77777777" w:rsidR="003017AC" w:rsidRPr="009F6A9D" w:rsidRDefault="00106D40">
      <w:pPr>
        <w:pStyle w:val="Heading1"/>
        <w:rPr>
          <w:rFonts w:cstheme="majorHAnsi"/>
          <w:color w:val="auto"/>
        </w:rPr>
      </w:pPr>
      <w:r w:rsidRPr="009F6A9D">
        <w:rPr>
          <w:rFonts w:cstheme="majorHAnsi"/>
          <w:color w:val="auto"/>
        </w:rPr>
        <w:t>11. Wellbeing</w:t>
      </w:r>
    </w:p>
    <w:p w14:paraId="3011627C"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school recognises that living with allergy can affect a pupil’s confidence, anxiety and sense of inclusion, and that pupils with allergies can also be vulnerable to teasing or bullying. Pupils are supported through pastoral care, regular check-ins where needed and clear reassurance about the safety arrangements in place. Any bullying relating to allergy is addressed under the Behaviour and Anti-Bullying Policies.</w:t>
      </w:r>
    </w:p>
    <w:p w14:paraId="25FBF03D" w14:textId="77777777" w:rsidR="003017AC" w:rsidRPr="009F6A9D" w:rsidRDefault="00106D40">
      <w:pPr>
        <w:pStyle w:val="Heading2"/>
        <w:rPr>
          <w:rFonts w:cstheme="majorHAnsi"/>
          <w:color w:val="auto"/>
        </w:rPr>
      </w:pPr>
      <w:r w:rsidRPr="009F6A9D">
        <w:rPr>
          <w:rFonts w:cstheme="majorHAnsi"/>
          <w:color w:val="auto"/>
        </w:rPr>
        <w:t>11.1 Wellbeing following an incident or near miss</w:t>
      </w:r>
    </w:p>
    <w:p w14:paraId="4D3C08AF"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A serious incident or near miss may affect the pupil, their family, staff who responded and witnesses. The school will consider appropriate follow-up support for everyone involved. Staff involved in a significant incident are also offered appropriate debrief and support.</w:t>
      </w:r>
    </w:p>
    <w:p w14:paraId="13260814" w14:textId="77777777" w:rsidR="003017AC" w:rsidRPr="009F6A9D" w:rsidRDefault="00106D40">
      <w:pPr>
        <w:pStyle w:val="Heading1"/>
        <w:rPr>
          <w:rFonts w:cstheme="majorHAnsi"/>
          <w:color w:val="auto"/>
        </w:rPr>
      </w:pPr>
      <w:r w:rsidRPr="009F6A9D">
        <w:rPr>
          <w:rFonts w:cstheme="majorHAnsi"/>
          <w:color w:val="auto"/>
        </w:rPr>
        <w:lastRenderedPageBreak/>
        <w:t>12. Information sharing</w:t>
      </w:r>
    </w:p>
    <w:p w14:paraId="3510AD53"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Information about an individual’s health is special category personal data under UK GDPR and is handled in accordance with the school’s Data Protection Policy. Allergy information is shared only with those who need it to keep the individual safe or to make appropriate arrangements.</w:t>
      </w:r>
    </w:p>
    <w:p w14:paraId="5BD61C9F"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Relevant staff, including catering, wraparound and trip staff, receive the information they need before taking responsibility for a pupil. Information is presented in a way that supports rapid identification and emergency action while protecting confidentiality. The dignity and privacy of pupils, staff and visitors are respected at all times. Parents/carers are expected to keep information current.</w:t>
      </w:r>
    </w:p>
    <w:p w14:paraId="4014E6F0" w14:textId="77777777" w:rsidR="003017AC" w:rsidRPr="009F6A9D" w:rsidRDefault="00106D40">
      <w:pPr>
        <w:pStyle w:val="Heading1"/>
        <w:rPr>
          <w:rFonts w:cstheme="majorHAnsi"/>
          <w:color w:val="auto"/>
        </w:rPr>
      </w:pPr>
      <w:r w:rsidRPr="009F6A9D">
        <w:rPr>
          <w:rFonts w:cstheme="majorHAnsi"/>
          <w:color w:val="auto"/>
        </w:rPr>
        <w:t>13. Monitoring arrangements</w:t>
      </w:r>
    </w:p>
    <w:p w14:paraId="7CEC6398"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The Allergy Safety Lead monitors implementation of this policy throughout the year. The policy is reviewed at least annually and sooner if a serious incident, near miss, complaint, audit finding, change to a pupil’s needs or change in national guidance identifies an area for improvement.</w:t>
      </w:r>
    </w:p>
    <w:p w14:paraId="13B5B954"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Monitoring includes checking:</w:t>
      </w:r>
    </w:p>
    <w:p w14:paraId="3D938FC7"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allergy registers, IHPs and action plans are current;</w:t>
      </w:r>
    </w:p>
    <w:p w14:paraId="60FF8AF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prescribed and spare emergency medication is accessible, in date and checked;</w:t>
      </w:r>
    </w:p>
    <w:p w14:paraId="46836FD0"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staff training and emergency drills are completed;</w:t>
      </w:r>
    </w:p>
    <w:p w14:paraId="3B6553FB"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catering and food-handling controls are followed;</w:t>
      </w:r>
    </w:p>
    <w:p w14:paraId="3953A0B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risk assessments are completed for relevant activities;</w:t>
      </w:r>
    </w:p>
    <w:p w14:paraId="58499932"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incidents and near misses are reviewed and actions are completed;</w:t>
      </w:r>
    </w:p>
    <w:p w14:paraId="1A86F1A7"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pupils with allergies are included and feel safe and supported.</w:t>
      </w:r>
    </w:p>
    <w:p w14:paraId="45F14904" w14:textId="77777777" w:rsidR="003017AC" w:rsidRPr="009F6A9D" w:rsidRDefault="00106D40">
      <w:pPr>
        <w:pStyle w:val="Heading1"/>
        <w:rPr>
          <w:rFonts w:cstheme="majorHAnsi"/>
          <w:color w:val="auto"/>
        </w:rPr>
      </w:pPr>
      <w:r w:rsidRPr="009F6A9D">
        <w:rPr>
          <w:rFonts w:cstheme="majorHAnsi"/>
          <w:color w:val="auto"/>
        </w:rPr>
        <w:t>14. Links to other policies</w:t>
      </w:r>
    </w:p>
    <w:p w14:paraId="548B04E1"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This policy should be read alongside the following school policies and procedures:</w:t>
      </w:r>
    </w:p>
    <w:p w14:paraId="74471130"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Health and Safety Policy;</w:t>
      </w:r>
    </w:p>
    <w:p w14:paraId="656B5C64"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Supporting Pupils with Medical Conditions Policy;</w:t>
      </w:r>
    </w:p>
    <w:p w14:paraId="62C44F34"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First Aid and Medication procedures;</w:t>
      </w:r>
    </w:p>
    <w:p w14:paraId="201F66CB"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School Food/Catering procedures;</w:t>
      </w:r>
    </w:p>
    <w:p w14:paraId="6FB7389C"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Data Protection Policy;</w:t>
      </w:r>
    </w:p>
    <w:p w14:paraId="6303A1B8" w14:textId="77777777" w:rsidR="003017AC" w:rsidRPr="009F6A9D" w:rsidRDefault="00106D40">
      <w:pPr>
        <w:pStyle w:val="PolicyBullet"/>
        <w:rPr>
          <w:rFonts w:asciiTheme="majorHAnsi" w:hAnsiTheme="majorHAnsi" w:cstheme="majorHAnsi"/>
        </w:rPr>
      </w:pPr>
      <w:r w:rsidRPr="009F6A9D">
        <w:rPr>
          <w:rFonts w:asciiTheme="majorHAnsi" w:hAnsiTheme="majorHAnsi" w:cstheme="majorHAnsi"/>
        </w:rPr>
        <w:t>• Child Protection and Safeguarding Policy;</w:t>
      </w:r>
    </w:p>
    <w:p w14:paraId="1D60032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Behaviour Policy;</w:t>
      </w:r>
    </w:p>
    <w:p w14:paraId="07660447"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Anti-Bullying Policy;</w:t>
      </w:r>
    </w:p>
    <w:p w14:paraId="6FBEDD19"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Educational Visits Policy;</w:t>
      </w:r>
    </w:p>
    <w:p w14:paraId="083508F6"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SEND Policy;</w:t>
      </w:r>
    </w:p>
    <w:p w14:paraId="75A58906"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Risk Assessment procedures;</w:t>
      </w:r>
    </w:p>
    <w:p w14:paraId="6A86AC34"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Staff Behaviour/Code of Conduct;</w:t>
      </w:r>
    </w:p>
    <w:p w14:paraId="4B893F00" w14:textId="77777777" w:rsidR="003017AC" w:rsidRPr="009F6A9D" w:rsidRDefault="00106D40">
      <w:pPr>
        <w:pStyle w:val="PolicyBullet"/>
        <w:keepLines/>
        <w:rPr>
          <w:rFonts w:asciiTheme="majorHAnsi" w:hAnsiTheme="majorHAnsi" w:cstheme="majorHAnsi"/>
        </w:rPr>
      </w:pPr>
      <w:r w:rsidRPr="009F6A9D">
        <w:rPr>
          <w:rFonts w:asciiTheme="majorHAnsi" w:hAnsiTheme="majorHAnsi" w:cstheme="majorHAnsi"/>
        </w:rPr>
        <w:t>• Wraparound, breakfast and after-school club procedures where applicable.</w:t>
      </w:r>
    </w:p>
    <w:p w14:paraId="6B42C35B" w14:textId="77777777" w:rsidR="003017AC" w:rsidRPr="009F6A9D" w:rsidRDefault="00106D40">
      <w:pPr>
        <w:pStyle w:val="Heading1"/>
        <w:rPr>
          <w:rFonts w:cstheme="majorHAnsi"/>
          <w:color w:val="auto"/>
        </w:rPr>
      </w:pPr>
      <w:r w:rsidRPr="009F6A9D">
        <w:rPr>
          <w:rFonts w:cstheme="majorHAnsi"/>
          <w:color w:val="auto"/>
        </w:rPr>
        <w:lastRenderedPageBreak/>
        <w:t>Appendix 1: Staff response to suspected anaphylaxis</w:t>
      </w:r>
    </w:p>
    <w:tbl>
      <w:tblPr>
        <w:tblW w:w="0" w:type="auto"/>
        <w:jc w:val="center"/>
        <w:tblLayout w:type="fixed"/>
        <w:tblLook w:val="04A0" w:firstRow="1" w:lastRow="0" w:firstColumn="1" w:lastColumn="0" w:noHBand="0" w:noVBand="1"/>
      </w:tblPr>
      <w:tblGrid>
        <w:gridCol w:w="792"/>
        <w:gridCol w:w="1800"/>
        <w:gridCol w:w="6984"/>
      </w:tblGrid>
      <w:tr w:rsidR="003017AC" w:rsidRPr="009F6A9D" w14:paraId="691D7616" w14:textId="77777777" w:rsidTr="00F917B7">
        <w:trPr>
          <w:tblHeader/>
          <w:jc w:val="center"/>
        </w:trPr>
        <w:tc>
          <w:tcPr>
            <w:tcW w:w="792" w:type="dxa"/>
            <w:tcBorders>
              <w:top w:val="single" w:sz="3" w:space="0" w:color="6F8F74"/>
              <w:left w:val="single" w:sz="3" w:space="0" w:color="6F8F74"/>
              <w:bottom w:val="single" w:sz="3" w:space="0" w:color="6F8F74"/>
              <w:right w:val="single" w:sz="3" w:space="0" w:color="6F8F74"/>
            </w:tcBorders>
            <w:shd w:val="clear" w:color="auto" w:fill="C2D69B" w:themeFill="accent3" w:themeFillTint="99"/>
            <w:tcMar>
              <w:top w:w="80" w:type="dxa"/>
              <w:left w:w="90" w:type="dxa"/>
              <w:bottom w:w="80" w:type="dxa"/>
              <w:right w:w="90" w:type="dxa"/>
            </w:tcMar>
          </w:tcPr>
          <w:p w14:paraId="7B4D6A86" w14:textId="77777777" w:rsidR="003017AC" w:rsidRPr="009F6A9D" w:rsidRDefault="00106D40">
            <w:pPr>
              <w:rPr>
                <w:rFonts w:asciiTheme="majorHAnsi" w:hAnsiTheme="majorHAnsi" w:cstheme="majorHAnsi"/>
              </w:rPr>
            </w:pPr>
            <w:r w:rsidRPr="009F6A9D">
              <w:rPr>
                <w:rFonts w:asciiTheme="majorHAnsi" w:hAnsiTheme="majorHAnsi" w:cstheme="majorHAnsi"/>
                <w:b/>
                <w:sz w:val="19"/>
              </w:rPr>
              <w:t>Step</w:t>
            </w:r>
          </w:p>
        </w:tc>
        <w:tc>
          <w:tcPr>
            <w:tcW w:w="1800" w:type="dxa"/>
            <w:tcBorders>
              <w:top w:val="single" w:sz="3" w:space="0" w:color="6F8F74"/>
              <w:left w:val="single" w:sz="3" w:space="0" w:color="6F8F74"/>
              <w:bottom w:val="single" w:sz="3" w:space="0" w:color="6F8F74"/>
              <w:right w:val="single" w:sz="3" w:space="0" w:color="6F8F74"/>
            </w:tcBorders>
            <w:shd w:val="clear" w:color="auto" w:fill="C2D69B" w:themeFill="accent3" w:themeFillTint="99"/>
            <w:tcMar>
              <w:top w:w="80" w:type="dxa"/>
              <w:left w:w="90" w:type="dxa"/>
              <w:bottom w:w="80" w:type="dxa"/>
              <w:right w:w="90" w:type="dxa"/>
            </w:tcMar>
          </w:tcPr>
          <w:p w14:paraId="63FC893E" w14:textId="77777777" w:rsidR="003017AC" w:rsidRPr="009F6A9D" w:rsidRDefault="00106D40">
            <w:pPr>
              <w:rPr>
                <w:rFonts w:asciiTheme="majorHAnsi" w:hAnsiTheme="majorHAnsi" w:cstheme="majorHAnsi"/>
              </w:rPr>
            </w:pPr>
            <w:r w:rsidRPr="009F6A9D">
              <w:rPr>
                <w:rFonts w:asciiTheme="majorHAnsi" w:hAnsiTheme="majorHAnsi" w:cstheme="majorHAnsi"/>
                <w:b/>
                <w:sz w:val="19"/>
              </w:rPr>
              <w:t>Action</w:t>
            </w:r>
          </w:p>
        </w:tc>
        <w:tc>
          <w:tcPr>
            <w:tcW w:w="6984" w:type="dxa"/>
            <w:tcBorders>
              <w:top w:val="single" w:sz="3" w:space="0" w:color="6F8F74"/>
              <w:left w:val="single" w:sz="3" w:space="0" w:color="6F8F74"/>
              <w:bottom w:val="single" w:sz="3" w:space="0" w:color="6F8F74"/>
              <w:right w:val="single" w:sz="3" w:space="0" w:color="6F8F74"/>
            </w:tcBorders>
            <w:shd w:val="clear" w:color="auto" w:fill="C2D69B" w:themeFill="accent3" w:themeFillTint="99"/>
            <w:tcMar>
              <w:top w:w="80" w:type="dxa"/>
              <w:left w:w="90" w:type="dxa"/>
              <w:bottom w:w="80" w:type="dxa"/>
              <w:right w:w="90" w:type="dxa"/>
            </w:tcMar>
          </w:tcPr>
          <w:p w14:paraId="6A2A0562" w14:textId="77777777" w:rsidR="003017AC" w:rsidRPr="009F6A9D" w:rsidRDefault="00106D40">
            <w:pPr>
              <w:rPr>
                <w:rFonts w:asciiTheme="majorHAnsi" w:hAnsiTheme="majorHAnsi" w:cstheme="majorHAnsi"/>
              </w:rPr>
            </w:pPr>
            <w:r w:rsidRPr="009F6A9D">
              <w:rPr>
                <w:rFonts w:asciiTheme="majorHAnsi" w:hAnsiTheme="majorHAnsi" w:cstheme="majorHAnsi"/>
                <w:b/>
                <w:sz w:val="19"/>
              </w:rPr>
              <w:t>What staff do</w:t>
            </w:r>
          </w:p>
        </w:tc>
      </w:tr>
      <w:tr w:rsidR="003017AC" w:rsidRPr="009F6A9D" w14:paraId="6D250B1C" w14:textId="77777777">
        <w:trPr>
          <w:jc w:val="center"/>
        </w:trPr>
        <w:tc>
          <w:tcPr>
            <w:tcW w:w="792"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2A482301"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1</w:t>
            </w:r>
          </w:p>
        </w:tc>
        <w:tc>
          <w:tcPr>
            <w:tcW w:w="1800"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2C739E41"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Recognise and act</w:t>
            </w:r>
          </w:p>
        </w:tc>
        <w:tc>
          <w:tcPr>
            <w:tcW w:w="698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6A8AE2A0"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If a pupil with a known or suspected allergy develops a severe or rapidly progressing reaction, treat it as an emergency. Do not leave the pupil alone.</w:t>
            </w:r>
          </w:p>
        </w:tc>
      </w:tr>
      <w:tr w:rsidR="003017AC" w:rsidRPr="009F6A9D" w14:paraId="7A46A2C7" w14:textId="77777777">
        <w:trPr>
          <w:jc w:val="center"/>
        </w:trPr>
        <w:tc>
          <w:tcPr>
            <w:tcW w:w="792"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41281C18"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2</w:t>
            </w:r>
          </w:p>
        </w:tc>
        <w:tc>
          <w:tcPr>
            <w:tcW w:w="1800"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3ACAA65A"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Give adrenaline</w:t>
            </w:r>
          </w:p>
        </w:tc>
        <w:tc>
          <w:tcPr>
            <w:tcW w:w="698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0B5C982D"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Use the pupil’s prescribed adrenaline device immediately in accordance with the pupil’s action plan and your training. Do not delay treatment while searching for paperwork.</w:t>
            </w:r>
          </w:p>
        </w:tc>
      </w:tr>
      <w:tr w:rsidR="003017AC" w:rsidRPr="009F6A9D" w14:paraId="5F29DB46" w14:textId="77777777">
        <w:trPr>
          <w:jc w:val="center"/>
        </w:trPr>
        <w:tc>
          <w:tcPr>
            <w:tcW w:w="792"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02DFA17C"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3</w:t>
            </w:r>
          </w:p>
        </w:tc>
        <w:tc>
          <w:tcPr>
            <w:tcW w:w="1800"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5842C8D1"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Call 999</w:t>
            </w:r>
          </w:p>
        </w:tc>
        <w:tc>
          <w:tcPr>
            <w:tcW w:w="698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151EF1AB"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State that anaphylaxis is suspected. Give the school location and follow the emergency call-handler’s instructions.</w:t>
            </w:r>
          </w:p>
        </w:tc>
      </w:tr>
      <w:tr w:rsidR="003017AC" w:rsidRPr="009F6A9D" w14:paraId="0BE67F7D" w14:textId="77777777">
        <w:trPr>
          <w:jc w:val="center"/>
        </w:trPr>
        <w:tc>
          <w:tcPr>
            <w:tcW w:w="792"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63CE086F"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4</w:t>
            </w:r>
          </w:p>
        </w:tc>
        <w:tc>
          <w:tcPr>
            <w:tcW w:w="1800"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72267BC3"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Bring further medication</w:t>
            </w:r>
          </w:p>
        </w:tc>
        <w:tc>
          <w:tcPr>
            <w:tcW w:w="698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4966E831"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Ensure the pupil’s second prescribed device and the school’s spare AAI, where available, are brought to the scene so they can be used if required in accordance with the action plan or emergency-service advice.</w:t>
            </w:r>
          </w:p>
        </w:tc>
      </w:tr>
      <w:tr w:rsidR="003017AC" w:rsidRPr="009F6A9D" w14:paraId="7DF0385E" w14:textId="77777777">
        <w:trPr>
          <w:jc w:val="center"/>
        </w:trPr>
        <w:tc>
          <w:tcPr>
            <w:tcW w:w="792"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24B5902A"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5</w:t>
            </w:r>
          </w:p>
        </w:tc>
        <w:tc>
          <w:tcPr>
            <w:tcW w:w="1800"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6468661C"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Inform and support</w:t>
            </w:r>
          </w:p>
        </w:tc>
        <w:tc>
          <w:tcPr>
            <w:tcW w:w="698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14222B9F"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Inform parents/carers as soon as possible without delaying treatment. Keep the pupil supervised and reassured.</w:t>
            </w:r>
          </w:p>
        </w:tc>
      </w:tr>
      <w:tr w:rsidR="003017AC" w:rsidRPr="009F6A9D" w14:paraId="72F1A8F1" w14:textId="77777777">
        <w:trPr>
          <w:jc w:val="center"/>
        </w:trPr>
        <w:tc>
          <w:tcPr>
            <w:tcW w:w="792"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03AF648A"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6</w:t>
            </w:r>
          </w:p>
        </w:tc>
        <w:tc>
          <w:tcPr>
            <w:tcW w:w="1800"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7AB0B54E"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Hospital transfer</w:t>
            </w:r>
          </w:p>
        </w:tc>
        <w:tc>
          <w:tcPr>
            <w:tcW w:w="698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682873DC"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Ensure relevant medical information/action plans and a member of staff accompany the pupil if transported to hospital.</w:t>
            </w:r>
          </w:p>
        </w:tc>
      </w:tr>
      <w:tr w:rsidR="003017AC" w:rsidRPr="009F6A9D" w14:paraId="622B0661" w14:textId="77777777">
        <w:trPr>
          <w:jc w:val="center"/>
        </w:trPr>
        <w:tc>
          <w:tcPr>
            <w:tcW w:w="792"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3BEB2694"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7</w:t>
            </w:r>
          </w:p>
        </w:tc>
        <w:tc>
          <w:tcPr>
            <w:tcW w:w="1800"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4733CD83"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Record and review</w:t>
            </w:r>
          </w:p>
        </w:tc>
        <w:tc>
          <w:tcPr>
            <w:tcW w:w="698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295FFAF3"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Record the incident promptly and notify the Allergy Safety Lead. Every use of adrenaline and every significant near miss is reviewed for learning.</w:t>
            </w:r>
          </w:p>
        </w:tc>
      </w:tr>
    </w:tbl>
    <w:p w14:paraId="27A0A9BB" w14:textId="77777777" w:rsidR="003017AC" w:rsidRPr="009F6A9D" w:rsidRDefault="003017AC">
      <w:pPr>
        <w:pStyle w:val="BodyText"/>
        <w:rPr>
          <w:rFonts w:asciiTheme="majorHAnsi" w:hAnsiTheme="majorHAnsi" w:cstheme="majorHAnsi"/>
        </w:rPr>
      </w:pPr>
    </w:p>
    <w:p w14:paraId="599C3363" w14:textId="77777777" w:rsidR="003017AC" w:rsidRPr="009F6A9D" w:rsidRDefault="00106D40">
      <w:pPr>
        <w:pStyle w:val="BodyText"/>
        <w:ind w:left="288"/>
        <w:rPr>
          <w:rFonts w:asciiTheme="majorHAnsi" w:hAnsiTheme="majorHAnsi" w:cstheme="majorHAnsi"/>
        </w:rPr>
      </w:pPr>
      <w:r w:rsidRPr="009F6A9D">
        <w:rPr>
          <w:rFonts w:asciiTheme="majorHAnsi" w:hAnsiTheme="majorHAnsi" w:cstheme="majorHAnsi"/>
          <w:i/>
          <w:sz w:val="18"/>
        </w:rPr>
        <w:t>This quick-reference appendix supports, but does not replace, the individual pupil’s allergy action plan or staff training.</w:t>
      </w:r>
    </w:p>
    <w:p w14:paraId="586C4F9B" w14:textId="77777777" w:rsidR="003017AC" w:rsidRPr="009F6A9D" w:rsidRDefault="00106D40">
      <w:pPr>
        <w:pStyle w:val="Heading1"/>
        <w:rPr>
          <w:rFonts w:cstheme="majorHAnsi"/>
          <w:color w:val="auto"/>
        </w:rPr>
      </w:pPr>
      <w:r w:rsidRPr="009F6A9D">
        <w:rPr>
          <w:rFonts w:cstheme="majorHAnsi"/>
          <w:color w:val="auto"/>
        </w:rPr>
        <w:t>Appendix 2: Allergy risk-assessment prompts</w:t>
      </w:r>
    </w:p>
    <w:p w14:paraId="4E36C3B3" w14:textId="77777777" w:rsidR="003017AC" w:rsidRPr="009F6A9D" w:rsidRDefault="00106D40">
      <w:pPr>
        <w:pStyle w:val="BodyText"/>
        <w:keepLines/>
        <w:rPr>
          <w:rFonts w:asciiTheme="majorHAnsi" w:hAnsiTheme="majorHAnsi" w:cstheme="majorHAnsi"/>
        </w:rPr>
      </w:pPr>
      <w:r w:rsidRPr="009F6A9D">
        <w:rPr>
          <w:rFonts w:asciiTheme="majorHAnsi" w:hAnsiTheme="majorHAnsi" w:cstheme="majorHAnsi"/>
        </w:rPr>
        <w:t>When planning an activity for a pupil with an allergy, staff should consider the following prompts and record the controls that are needed:</w:t>
      </w:r>
    </w:p>
    <w:tbl>
      <w:tblPr>
        <w:tblW w:w="0" w:type="auto"/>
        <w:jc w:val="center"/>
        <w:tblLayout w:type="fixed"/>
        <w:tblLook w:val="04A0" w:firstRow="1" w:lastRow="0" w:firstColumn="1" w:lastColumn="0" w:noHBand="0" w:noVBand="1"/>
      </w:tblPr>
      <w:tblGrid>
        <w:gridCol w:w="2232"/>
        <w:gridCol w:w="7344"/>
      </w:tblGrid>
      <w:tr w:rsidR="003017AC" w:rsidRPr="009F6A9D" w14:paraId="7D706603" w14:textId="77777777" w:rsidTr="00FD314A">
        <w:trPr>
          <w:tblHeader/>
          <w:jc w:val="center"/>
        </w:trPr>
        <w:tc>
          <w:tcPr>
            <w:tcW w:w="2232" w:type="dxa"/>
            <w:tcBorders>
              <w:top w:val="single" w:sz="3" w:space="0" w:color="6F8F74"/>
              <w:left w:val="single" w:sz="3" w:space="0" w:color="6F8F74"/>
              <w:bottom w:val="single" w:sz="3" w:space="0" w:color="6F8F74"/>
              <w:right w:val="single" w:sz="3" w:space="0" w:color="6F8F74"/>
            </w:tcBorders>
            <w:shd w:val="clear" w:color="auto" w:fill="C2D69B" w:themeFill="accent3" w:themeFillTint="99"/>
            <w:tcMar>
              <w:top w:w="80" w:type="dxa"/>
              <w:left w:w="90" w:type="dxa"/>
              <w:bottom w:w="80" w:type="dxa"/>
              <w:right w:w="90" w:type="dxa"/>
            </w:tcMar>
          </w:tcPr>
          <w:p w14:paraId="25FE946D" w14:textId="77777777" w:rsidR="003017AC" w:rsidRPr="009F6A9D" w:rsidRDefault="00106D40">
            <w:pPr>
              <w:rPr>
                <w:rFonts w:asciiTheme="majorHAnsi" w:hAnsiTheme="majorHAnsi" w:cstheme="majorHAnsi"/>
              </w:rPr>
            </w:pPr>
            <w:r w:rsidRPr="009F6A9D">
              <w:rPr>
                <w:rFonts w:asciiTheme="majorHAnsi" w:hAnsiTheme="majorHAnsi" w:cstheme="majorHAnsi"/>
                <w:b/>
                <w:sz w:val="19"/>
              </w:rPr>
              <w:t>Area</w:t>
            </w:r>
          </w:p>
        </w:tc>
        <w:tc>
          <w:tcPr>
            <w:tcW w:w="7344" w:type="dxa"/>
            <w:tcBorders>
              <w:top w:val="single" w:sz="3" w:space="0" w:color="6F8F74"/>
              <w:left w:val="single" w:sz="3" w:space="0" w:color="6F8F74"/>
              <w:bottom w:val="single" w:sz="3" w:space="0" w:color="6F8F74"/>
              <w:right w:val="single" w:sz="3" w:space="0" w:color="6F8F74"/>
            </w:tcBorders>
            <w:shd w:val="clear" w:color="auto" w:fill="C2D69B" w:themeFill="accent3" w:themeFillTint="99"/>
            <w:tcMar>
              <w:top w:w="80" w:type="dxa"/>
              <w:left w:w="90" w:type="dxa"/>
              <w:bottom w:w="80" w:type="dxa"/>
              <w:right w:w="90" w:type="dxa"/>
            </w:tcMar>
          </w:tcPr>
          <w:p w14:paraId="3290F0BE" w14:textId="77777777" w:rsidR="003017AC" w:rsidRPr="009F6A9D" w:rsidRDefault="00106D40">
            <w:pPr>
              <w:rPr>
                <w:rFonts w:asciiTheme="majorHAnsi" w:hAnsiTheme="majorHAnsi" w:cstheme="majorHAnsi"/>
              </w:rPr>
            </w:pPr>
            <w:r w:rsidRPr="009F6A9D">
              <w:rPr>
                <w:rFonts w:asciiTheme="majorHAnsi" w:hAnsiTheme="majorHAnsi" w:cstheme="majorHAnsi"/>
                <w:b/>
                <w:sz w:val="19"/>
              </w:rPr>
              <w:t>Prompt</w:t>
            </w:r>
          </w:p>
        </w:tc>
      </w:tr>
      <w:tr w:rsidR="003017AC" w:rsidRPr="009F6A9D" w14:paraId="7201B3B8" w14:textId="77777777">
        <w:trPr>
          <w:jc w:val="center"/>
        </w:trPr>
        <w:tc>
          <w:tcPr>
            <w:tcW w:w="2232"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5C067BBF"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Allergen exposure</w:t>
            </w:r>
          </w:p>
        </w:tc>
        <w:tc>
          <w:tcPr>
            <w:tcW w:w="734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7FC6358F"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What known allergens could be present in food, materials, animals, packaging or the environment? Could ingredients change?</w:t>
            </w:r>
          </w:p>
        </w:tc>
      </w:tr>
      <w:tr w:rsidR="003017AC" w:rsidRPr="009F6A9D" w14:paraId="5B631B9A" w14:textId="77777777">
        <w:trPr>
          <w:jc w:val="center"/>
        </w:trPr>
        <w:tc>
          <w:tcPr>
            <w:tcW w:w="2232"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465894F3"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Cross-contamination</w:t>
            </w:r>
          </w:p>
        </w:tc>
        <w:tc>
          <w:tcPr>
            <w:tcW w:w="734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4F5718E6"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Are separate utensils/equipment/preparation areas or additional cleaning controls required?</w:t>
            </w:r>
          </w:p>
        </w:tc>
      </w:tr>
      <w:tr w:rsidR="003017AC" w:rsidRPr="009F6A9D" w14:paraId="1A2273D9" w14:textId="77777777">
        <w:trPr>
          <w:jc w:val="center"/>
        </w:trPr>
        <w:tc>
          <w:tcPr>
            <w:tcW w:w="2232"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0426B9F1"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Pupil identification</w:t>
            </w:r>
          </w:p>
        </w:tc>
        <w:tc>
          <w:tcPr>
            <w:tcW w:w="734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5CB8019B"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Do all relevant staff know the pupil and understand the allergy/action plan?</w:t>
            </w:r>
          </w:p>
        </w:tc>
      </w:tr>
      <w:tr w:rsidR="003017AC" w:rsidRPr="009F6A9D" w14:paraId="424C68A4" w14:textId="77777777">
        <w:trPr>
          <w:jc w:val="center"/>
        </w:trPr>
        <w:tc>
          <w:tcPr>
            <w:tcW w:w="2232"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36C30BD2"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Medication</w:t>
            </w:r>
          </w:p>
        </w:tc>
        <w:tc>
          <w:tcPr>
            <w:tcW w:w="734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73A955C5"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Are two prescribed devices available where required? Where are they? Is the spare AAI required? Are all devices in date?</w:t>
            </w:r>
          </w:p>
        </w:tc>
      </w:tr>
      <w:tr w:rsidR="003017AC" w:rsidRPr="009F6A9D" w14:paraId="14C7FA85" w14:textId="77777777">
        <w:trPr>
          <w:jc w:val="center"/>
        </w:trPr>
        <w:tc>
          <w:tcPr>
            <w:tcW w:w="2232"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08574202"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Staff competence</w:t>
            </w:r>
          </w:p>
        </w:tc>
        <w:tc>
          <w:tcPr>
            <w:tcW w:w="734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168C05D2"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Is a trained adult present and confident to recognise anaphylaxis and administer adrenaline?</w:t>
            </w:r>
          </w:p>
        </w:tc>
      </w:tr>
      <w:tr w:rsidR="003017AC" w:rsidRPr="009F6A9D" w14:paraId="1E28E559" w14:textId="77777777">
        <w:trPr>
          <w:jc w:val="center"/>
        </w:trPr>
        <w:tc>
          <w:tcPr>
            <w:tcW w:w="2232"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56E280C1"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Location and emergency access</w:t>
            </w:r>
          </w:p>
        </w:tc>
        <w:tc>
          <w:tcPr>
            <w:tcW w:w="734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4A724E0B"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How quickly can 999 be called? Is there mobile signal/access? Can emergency services reach the location?</w:t>
            </w:r>
          </w:p>
        </w:tc>
      </w:tr>
      <w:tr w:rsidR="003017AC" w:rsidRPr="009F6A9D" w14:paraId="461F72C1" w14:textId="77777777">
        <w:trPr>
          <w:jc w:val="center"/>
        </w:trPr>
        <w:tc>
          <w:tcPr>
            <w:tcW w:w="2232"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21F349A5"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Food provider</w:t>
            </w:r>
          </w:p>
        </w:tc>
        <w:tc>
          <w:tcPr>
            <w:tcW w:w="734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0D5D0F45"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Has allergen information been obtained and verified? Is the provider aware of the pupil’s needs?</w:t>
            </w:r>
          </w:p>
        </w:tc>
      </w:tr>
      <w:tr w:rsidR="003017AC" w:rsidRPr="009F6A9D" w14:paraId="71832A1D" w14:textId="77777777">
        <w:trPr>
          <w:jc w:val="center"/>
        </w:trPr>
        <w:tc>
          <w:tcPr>
            <w:tcW w:w="2232"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3F8221CB"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lastRenderedPageBreak/>
              <w:t>Travel and transitions</w:t>
            </w:r>
          </w:p>
        </w:tc>
        <w:tc>
          <w:tcPr>
            <w:tcW w:w="734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7E572DC0"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Will medication remain with the pupil during transport, playtimes, lunch, clubs and transitions?</w:t>
            </w:r>
          </w:p>
        </w:tc>
      </w:tr>
      <w:tr w:rsidR="003017AC" w:rsidRPr="009F6A9D" w14:paraId="5C750472" w14:textId="77777777">
        <w:trPr>
          <w:jc w:val="center"/>
        </w:trPr>
        <w:tc>
          <w:tcPr>
            <w:tcW w:w="2232"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4FF3950B"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Inclusion</w:t>
            </w:r>
          </w:p>
        </w:tc>
        <w:tc>
          <w:tcPr>
            <w:tcW w:w="734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4EA9A03C"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Can the pupil participate fully and safely? What reasonable adjustment avoids unnecessary exclusion?</w:t>
            </w:r>
          </w:p>
        </w:tc>
      </w:tr>
      <w:tr w:rsidR="003017AC" w:rsidRPr="009F6A9D" w14:paraId="793FFC74" w14:textId="77777777">
        <w:trPr>
          <w:jc w:val="center"/>
        </w:trPr>
        <w:tc>
          <w:tcPr>
            <w:tcW w:w="2232"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103883C6"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Communication</w:t>
            </w:r>
          </w:p>
        </w:tc>
        <w:tc>
          <w:tcPr>
            <w:tcW w:w="734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63240E28"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Have parents/carers, catering staff, trip staff or external providers been informed where needed?</w:t>
            </w:r>
          </w:p>
        </w:tc>
      </w:tr>
    </w:tbl>
    <w:p w14:paraId="26C4EBDF" w14:textId="77777777" w:rsidR="003017AC" w:rsidRPr="009F6A9D" w:rsidRDefault="003017AC">
      <w:pPr>
        <w:pStyle w:val="BodyText"/>
        <w:rPr>
          <w:rFonts w:asciiTheme="majorHAnsi" w:hAnsiTheme="majorHAnsi" w:cstheme="majorHAnsi"/>
        </w:rPr>
      </w:pPr>
    </w:p>
    <w:p w14:paraId="6B999C0E" w14:textId="77777777" w:rsidR="003017AC" w:rsidRPr="009F6A9D" w:rsidRDefault="00106D40">
      <w:pPr>
        <w:pStyle w:val="Heading1"/>
        <w:rPr>
          <w:rFonts w:cstheme="majorHAnsi"/>
          <w:color w:val="auto"/>
        </w:rPr>
      </w:pPr>
      <w:r w:rsidRPr="009F6A9D">
        <w:rPr>
          <w:rFonts w:cstheme="majorHAnsi"/>
          <w:color w:val="auto"/>
        </w:rPr>
        <w:t>Policy approval</w:t>
      </w:r>
    </w:p>
    <w:tbl>
      <w:tblPr>
        <w:tblW w:w="0" w:type="auto"/>
        <w:jc w:val="center"/>
        <w:tblLayout w:type="fixed"/>
        <w:tblLook w:val="04A0" w:firstRow="1" w:lastRow="0" w:firstColumn="1" w:lastColumn="0" w:noHBand="0" w:noVBand="1"/>
      </w:tblPr>
      <w:tblGrid>
        <w:gridCol w:w="2880"/>
        <w:gridCol w:w="6624"/>
      </w:tblGrid>
      <w:tr w:rsidR="003017AC" w:rsidRPr="009F6A9D" w14:paraId="65E2E996" w14:textId="77777777" w:rsidTr="00FD314A">
        <w:trPr>
          <w:tblHeader/>
          <w:jc w:val="center"/>
        </w:trPr>
        <w:tc>
          <w:tcPr>
            <w:tcW w:w="2880" w:type="dxa"/>
            <w:tcBorders>
              <w:top w:val="single" w:sz="3" w:space="0" w:color="6F8F74"/>
              <w:left w:val="single" w:sz="3" w:space="0" w:color="6F8F74"/>
              <w:bottom w:val="single" w:sz="3" w:space="0" w:color="6F8F74"/>
              <w:right w:val="single" w:sz="3" w:space="0" w:color="6F8F74"/>
            </w:tcBorders>
            <w:shd w:val="clear" w:color="auto" w:fill="C2D69B" w:themeFill="accent3" w:themeFillTint="99"/>
            <w:tcMar>
              <w:top w:w="80" w:type="dxa"/>
              <w:left w:w="90" w:type="dxa"/>
              <w:bottom w:w="80" w:type="dxa"/>
              <w:right w:w="90" w:type="dxa"/>
            </w:tcMar>
          </w:tcPr>
          <w:p w14:paraId="7F04C150" w14:textId="77777777" w:rsidR="003017AC" w:rsidRPr="009F6A9D" w:rsidRDefault="00106D40">
            <w:pPr>
              <w:rPr>
                <w:rFonts w:asciiTheme="majorHAnsi" w:hAnsiTheme="majorHAnsi" w:cstheme="majorHAnsi"/>
              </w:rPr>
            </w:pPr>
            <w:r w:rsidRPr="009F6A9D">
              <w:rPr>
                <w:rFonts w:asciiTheme="majorHAnsi" w:hAnsiTheme="majorHAnsi" w:cstheme="majorHAnsi"/>
                <w:b/>
                <w:sz w:val="19"/>
              </w:rPr>
              <w:t>Policy field</w:t>
            </w:r>
          </w:p>
        </w:tc>
        <w:tc>
          <w:tcPr>
            <w:tcW w:w="6624" w:type="dxa"/>
            <w:tcBorders>
              <w:top w:val="single" w:sz="3" w:space="0" w:color="6F8F74"/>
              <w:left w:val="single" w:sz="3" w:space="0" w:color="6F8F74"/>
              <w:bottom w:val="single" w:sz="3" w:space="0" w:color="6F8F74"/>
              <w:right w:val="single" w:sz="3" w:space="0" w:color="6F8F74"/>
            </w:tcBorders>
            <w:shd w:val="clear" w:color="auto" w:fill="C2D69B" w:themeFill="accent3" w:themeFillTint="99"/>
            <w:tcMar>
              <w:top w:w="80" w:type="dxa"/>
              <w:left w:w="90" w:type="dxa"/>
              <w:bottom w:w="80" w:type="dxa"/>
              <w:right w:w="90" w:type="dxa"/>
            </w:tcMar>
          </w:tcPr>
          <w:p w14:paraId="7479208E" w14:textId="77777777" w:rsidR="003017AC" w:rsidRPr="009F6A9D" w:rsidRDefault="00106D40">
            <w:pPr>
              <w:rPr>
                <w:rFonts w:asciiTheme="majorHAnsi" w:hAnsiTheme="majorHAnsi" w:cstheme="majorHAnsi"/>
              </w:rPr>
            </w:pPr>
            <w:r w:rsidRPr="009F6A9D">
              <w:rPr>
                <w:rFonts w:asciiTheme="majorHAnsi" w:hAnsiTheme="majorHAnsi" w:cstheme="majorHAnsi"/>
                <w:b/>
                <w:sz w:val="19"/>
              </w:rPr>
              <w:t>Detail</w:t>
            </w:r>
          </w:p>
        </w:tc>
      </w:tr>
      <w:tr w:rsidR="003017AC" w:rsidRPr="009F6A9D" w14:paraId="599D814D" w14:textId="77777777">
        <w:trPr>
          <w:jc w:val="center"/>
        </w:trPr>
        <w:tc>
          <w:tcPr>
            <w:tcW w:w="2880"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4D27FF06"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Approved by</w:t>
            </w:r>
          </w:p>
        </w:tc>
        <w:tc>
          <w:tcPr>
            <w:tcW w:w="662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126F79BA"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Governing Body</w:t>
            </w:r>
          </w:p>
        </w:tc>
      </w:tr>
      <w:tr w:rsidR="003017AC" w:rsidRPr="009F6A9D" w14:paraId="319A1196" w14:textId="77777777">
        <w:trPr>
          <w:jc w:val="center"/>
        </w:trPr>
        <w:tc>
          <w:tcPr>
            <w:tcW w:w="2880"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0A7651AD"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Date approved</w:t>
            </w:r>
          </w:p>
        </w:tc>
        <w:tc>
          <w:tcPr>
            <w:tcW w:w="662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78280022" w14:textId="26175A94" w:rsidR="003017AC" w:rsidRPr="009F6A9D" w:rsidRDefault="003017AC">
            <w:pPr>
              <w:pStyle w:val="BodyText"/>
              <w:spacing w:after="0"/>
              <w:rPr>
                <w:rFonts w:asciiTheme="majorHAnsi" w:hAnsiTheme="majorHAnsi" w:cstheme="majorHAnsi"/>
              </w:rPr>
            </w:pPr>
          </w:p>
        </w:tc>
      </w:tr>
      <w:tr w:rsidR="003017AC" w:rsidRPr="009F6A9D" w14:paraId="403C5773" w14:textId="77777777">
        <w:trPr>
          <w:jc w:val="center"/>
        </w:trPr>
        <w:tc>
          <w:tcPr>
            <w:tcW w:w="2880"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7EA17D6E"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Policy owner</w:t>
            </w:r>
          </w:p>
        </w:tc>
        <w:tc>
          <w:tcPr>
            <w:tcW w:w="6624" w:type="dxa"/>
            <w:tcBorders>
              <w:top w:val="single" w:sz="2" w:space="0" w:color="D3D8D4"/>
              <w:left w:val="single" w:sz="2" w:space="0" w:color="D3D8D4"/>
              <w:bottom w:val="single" w:sz="2" w:space="0" w:color="D3D8D4"/>
              <w:right w:val="single" w:sz="2" w:space="0" w:color="D3D8D4"/>
            </w:tcBorders>
            <w:tcMar>
              <w:top w:w="65" w:type="dxa"/>
              <w:left w:w="80" w:type="dxa"/>
              <w:bottom w:w="65" w:type="dxa"/>
              <w:right w:w="80" w:type="dxa"/>
            </w:tcMar>
          </w:tcPr>
          <w:p w14:paraId="1455F247"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Headteacher / Allergy Safety Lead</w:t>
            </w:r>
          </w:p>
        </w:tc>
      </w:tr>
      <w:tr w:rsidR="003017AC" w:rsidRPr="009F6A9D" w14:paraId="027425F9" w14:textId="77777777">
        <w:trPr>
          <w:jc w:val="center"/>
        </w:trPr>
        <w:tc>
          <w:tcPr>
            <w:tcW w:w="2880"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65F39F75"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Next review</w:t>
            </w:r>
          </w:p>
        </w:tc>
        <w:tc>
          <w:tcPr>
            <w:tcW w:w="6624" w:type="dxa"/>
            <w:tcBorders>
              <w:top w:val="single" w:sz="2" w:space="0" w:color="D3D8D4"/>
              <w:left w:val="single" w:sz="2" w:space="0" w:color="D3D8D4"/>
              <w:bottom w:val="single" w:sz="2" w:space="0" w:color="D3D8D4"/>
              <w:right w:val="single" w:sz="2" w:space="0" w:color="D3D8D4"/>
            </w:tcBorders>
            <w:shd w:val="clear" w:color="auto" w:fill="F4F6F4"/>
            <w:tcMar>
              <w:top w:w="65" w:type="dxa"/>
              <w:left w:w="80" w:type="dxa"/>
              <w:bottom w:w="65" w:type="dxa"/>
              <w:right w:w="80" w:type="dxa"/>
            </w:tcMar>
          </w:tcPr>
          <w:p w14:paraId="4E392CAF" w14:textId="77777777" w:rsidR="003017AC" w:rsidRPr="009F6A9D" w:rsidRDefault="00106D40">
            <w:pPr>
              <w:pStyle w:val="BodyText"/>
              <w:spacing w:after="0"/>
              <w:rPr>
                <w:rFonts w:asciiTheme="majorHAnsi" w:hAnsiTheme="majorHAnsi" w:cstheme="majorHAnsi"/>
              </w:rPr>
            </w:pPr>
            <w:r w:rsidRPr="009F6A9D">
              <w:rPr>
                <w:rFonts w:asciiTheme="majorHAnsi" w:hAnsiTheme="majorHAnsi" w:cstheme="majorHAnsi"/>
              </w:rPr>
              <w:t>September 2027 or sooner if required</w:t>
            </w:r>
          </w:p>
        </w:tc>
      </w:tr>
    </w:tbl>
    <w:p w14:paraId="3CE16041" w14:textId="77777777" w:rsidR="003017AC" w:rsidRPr="009F6A9D" w:rsidRDefault="003017AC">
      <w:pPr>
        <w:pStyle w:val="BodyText"/>
        <w:rPr>
          <w:rFonts w:asciiTheme="majorHAnsi" w:hAnsiTheme="majorHAnsi" w:cstheme="majorHAnsi"/>
        </w:rPr>
      </w:pPr>
    </w:p>
    <w:sectPr w:rsidR="003017AC" w:rsidRPr="009F6A9D" w:rsidSect="00034616">
      <w:headerReference w:type="default" r:id="rId11"/>
      <w:footerReference w:type="default" r:id="rId12"/>
      <w:pgSz w:w="12240" w:h="15840"/>
      <w:pgMar w:top="1224" w:right="1152" w:bottom="1080" w:left="1152" w:header="403" w:footer="403"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DBC44" w14:textId="77777777" w:rsidR="00106D40" w:rsidRDefault="00106D40">
      <w:pPr>
        <w:spacing w:after="0" w:line="240" w:lineRule="auto"/>
      </w:pPr>
      <w:r>
        <w:separator/>
      </w:r>
    </w:p>
  </w:endnote>
  <w:endnote w:type="continuationSeparator" w:id="0">
    <w:p w14:paraId="0B9410A9" w14:textId="77777777" w:rsidR="00106D40" w:rsidRDefault="00106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7BF3D" w14:textId="582DFEB6" w:rsidR="003017AC" w:rsidRDefault="00106D40">
    <w:pPr>
      <w:jc w:val="right"/>
    </w:pPr>
    <w:r>
      <w:rPr>
        <w:color w:val="666666"/>
        <w:sz w:val="16"/>
      </w:rPr>
      <w:t xml:space="preserve">Allergy Safety Policy 2026-27   |   </w:t>
    </w:r>
    <w:r>
      <w:fldChar w:fldCharType="begin"/>
    </w:r>
    <w:r>
      <w:instrText xml:space="preserve"> PAGE </w:instrText>
    </w:r>
    <w:r w:rsidR="009F6A9D">
      <w:fldChar w:fldCharType="separate"/>
    </w:r>
    <w:r w:rsidR="009F6A9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B520B" w14:textId="77777777" w:rsidR="00106D40" w:rsidRDefault="00106D40">
      <w:pPr>
        <w:spacing w:after="0" w:line="240" w:lineRule="auto"/>
      </w:pPr>
      <w:r>
        <w:separator/>
      </w:r>
    </w:p>
  </w:footnote>
  <w:footnote w:type="continuationSeparator" w:id="0">
    <w:p w14:paraId="204025FA" w14:textId="77777777" w:rsidR="00106D40" w:rsidRDefault="00106D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4A0" w:firstRow="1" w:lastRow="0" w:firstColumn="1" w:lastColumn="0" w:noHBand="0" w:noVBand="1"/>
    </w:tblPr>
    <w:tblGrid>
      <w:gridCol w:w="4860"/>
      <w:gridCol w:w="4860"/>
    </w:tblGrid>
    <w:tr w:rsidR="003017AC" w14:paraId="20D9B969" w14:textId="77777777">
      <w:trPr>
        <w:jc w:val="center"/>
      </w:trPr>
      <w:tc>
        <w:tcPr>
          <w:tcW w:w="4860" w:type="dxa"/>
          <w:tcBorders>
            <w:bottom w:val="single" w:sz="8" w:space="0" w:color="6F8F74"/>
          </w:tcBorders>
          <w:tcMar>
            <w:top w:w="0" w:type="dxa"/>
            <w:left w:w="0" w:type="dxa"/>
            <w:bottom w:w="0" w:type="dxa"/>
            <w:right w:w="0" w:type="dxa"/>
          </w:tcMar>
        </w:tcPr>
        <w:p w14:paraId="1B94BCB5" w14:textId="77777777" w:rsidR="003017AC" w:rsidRDefault="00106D40">
          <w:r>
            <w:rPr>
              <w:b/>
              <w:color w:val="294535"/>
              <w:sz w:val="17"/>
            </w:rPr>
            <w:t>GATEFORD PARK PRIMARY SCHOOL</w:t>
          </w:r>
        </w:p>
      </w:tc>
      <w:tc>
        <w:tcPr>
          <w:tcW w:w="4860" w:type="dxa"/>
          <w:tcBorders>
            <w:bottom w:val="single" w:sz="8" w:space="0" w:color="6F8F74"/>
          </w:tcBorders>
          <w:tcMar>
            <w:top w:w="0" w:type="dxa"/>
            <w:left w:w="0" w:type="dxa"/>
            <w:bottom w:w="0" w:type="dxa"/>
            <w:right w:w="0" w:type="dxa"/>
          </w:tcMar>
        </w:tcPr>
        <w:p w14:paraId="34183C9A" w14:textId="77777777" w:rsidR="003017AC" w:rsidRDefault="00106D40">
          <w:pPr>
            <w:jc w:val="right"/>
          </w:pPr>
          <w:r>
            <w:rPr>
              <w:noProof/>
            </w:rPr>
            <w:drawing>
              <wp:inline distT="0" distB="0" distL="0" distR="0" wp14:anchorId="2E9C62D2" wp14:editId="4087DD38">
                <wp:extent cx="393192" cy="440983"/>
                <wp:effectExtent l="0" t="0" r="0" b="0"/>
                <wp:docPr id="1425103636" name="Picture 142510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
                        <a:stretch>
                          <a:fillRect/>
                        </a:stretch>
                      </pic:blipFill>
                      <pic:spPr>
                        <a:xfrm>
                          <a:off x="0" y="0"/>
                          <a:ext cx="393192" cy="440983"/>
                        </a:xfrm>
                        <a:prstGeom prst="rect">
                          <a:avLst/>
                        </a:prstGeom>
                      </pic:spPr>
                    </pic:pic>
                  </a:graphicData>
                </a:graphic>
              </wp:inline>
            </w:drawing>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39108929">
    <w:abstractNumId w:val="8"/>
  </w:num>
  <w:num w:numId="2" w16cid:durableId="1697079401">
    <w:abstractNumId w:val="6"/>
  </w:num>
  <w:num w:numId="3" w16cid:durableId="1746760547">
    <w:abstractNumId w:val="5"/>
  </w:num>
  <w:num w:numId="4" w16cid:durableId="405107273">
    <w:abstractNumId w:val="4"/>
  </w:num>
  <w:num w:numId="5" w16cid:durableId="1741904725">
    <w:abstractNumId w:val="7"/>
  </w:num>
  <w:num w:numId="6" w16cid:durableId="1637679958">
    <w:abstractNumId w:val="3"/>
  </w:num>
  <w:num w:numId="7" w16cid:durableId="705839103">
    <w:abstractNumId w:val="2"/>
  </w:num>
  <w:num w:numId="8" w16cid:durableId="800072333">
    <w:abstractNumId w:val="1"/>
  </w:num>
  <w:num w:numId="9" w16cid:durableId="160237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6D40"/>
    <w:rsid w:val="0015074B"/>
    <w:rsid w:val="0029639D"/>
    <w:rsid w:val="00296657"/>
    <w:rsid w:val="002A5EA3"/>
    <w:rsid w:val="002C14A8"/>
    <w:rsid w:val="003017AC"/>
    <w:rsid w:val="00326F90"/>
    <w:rsid w:val="00362FEC"/>
    <w:rsid w:val="00363344"/>
    <w:rsid w:val="003D2A50"/>
    <w:rsid w:val="0057063D"/>
    <w:rsid w:val="006020C0"/>
    <w:rsid w:val="00631877"/>
    <w:rsid w:val="006B4A87"/>
    <w:rsid w:val="00891065"/>
    <w:rsid w:val="00897AF5"/>
    <w:rsid w:val="008A2AC6"/>
    <w:rsid w:val="00916EB9"/>
    <w:rsid w:val="00936381"/>
    <w:rsid w:val="009773F3"/>
    <w:rsid w:val="009F6A9D"/>
    <w:rsid w:val="00A771A2"/>
    <w:rsid w:val="00AA1D8D"/>
    <w:rsid w:val="00B154AE"/>
    <w:rsid w:val="00B47730"/>
    <w:rsid w:val="00B85DAF"/>
    <w:rsid w:val="00C07C46"/>
    <w:rsid w:val="00C91854"/>
    <w:rsid w:val="00CB0664"/>
    <w:rsid w:val="00CF04CF"/>
    <w:rsid w:val="00D44C22"/>
    <w:rsid w:val="00DE1FCB"/>
    <w:rsid w:val="00F917B7"/>
    <w:rsid w:val="00FC086E"/>
    <w:rsid w:val="00FC693F"/>
    <w:rsid w:val="00FD31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39778F"/>
  <w14:defaultImageDpi w14:val="300"/>
  <w15:docId w15:val="{5A1E4E99-7830-4CC4-9B42-6ADC49252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0"/>
    </w:rPr>
  </w:style>
  <w:style w:type="paragraph" w:styleId="Heading1">
    <w:name w:val="heading 1"/>
    <w:basedOn w:val="Normal"/>
    <w:next w:val="Normal"/>
    <w:link w:val="Heading1Char"/>
    <w:uiPriority w:val="9"/>
    <w:qFormat/>
    <w:rsid w:val="00FC693F"/>
    <w:pPr>
      <w:keepNext/>
      <w:keepLines/>
      <w:spacing w:before="160" w:after="100"/>
      <w:outlineLvl w:val="0"/>
    </w:pPr>
    <w:rPr>
      <w:rFonts w:asciiTheme="majorHAnsi" w:eastAsiaTheme="majorEastAsia" w:hAnsiTheme="majorHAnsi" w:cstheme="majorBidi"/>
      <w:b/>
      <w:bCs/>
      <w:color w:val="294535"/>
      <w:sz w:val="34"/>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b/>
      <w:bCs/>
      <w:color w:val="6F8F74"/>
      <w:sz w:val="26"/>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b/>
      <w:bCs/>
      <w:color w:val="6F8F74"/>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80" w:line="259"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licyBullet">
    <w:name w:val="Policy Bullet"/>
    <w:pPr>
      <w:spacing w:after="50" w:line="252" w:lineRule="auto"/>
      <w:ind w:left="259" w:hanging="173"/>
    </w:pPr>
    <w:rPr>
      <w:rFonts w:ascii="Aptos" w:hAnsi="Apto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4894</Words>
  <Characters>27899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Gateford Park Primary School Child Protection and Safeguarding Policy 2026-27</vt:lpstr>
    </vt:vector>
  </TitlesOfParts>
  <Manager/>
  <Company/>
  <LinksUpToDate>false</LinksUpToDate>
  <CharactersWithSpaces>32728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Gateford Park Primary School Allergy Safety Policy 2026-27</dc:title>
  <dc:subject>Allergy safety policy</dc:subject>
  <dc:creator>Gateford Park Primary School</dc:creator>
  <cp:keywords>allergy, anaphylaxis, AAI, adrenaline, medical conditions, school policy</cp:keywords>
  <dc:description>generated by python-docx</dc:description>
  <cp:lastModifiedBy>Jo Green</cp:lastModifiedBy>
  <cp:revision>2</cp:revision>
  <dcterms:created xsi:type="dcterms:W3CDTF">2026-08-25T06:26:00Z</dcterms:created>
  <dcterms:modified xsi:type="dcterms:W3CDTF">2026-08-25T06:26:00Z</dcterms:modified>
  <cp:category/>
</cp:coreProperties>
</file>